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96407" w14:textId="77777777" w:rsidR="005548F2" w:rsidRDefault="005548F2" w:rsidP="00203A96">
      <w:pPr>
        <w:pStyle w:val="Nagwek1"/>
      </w:pPr>
    </w:p>
    <w:p w14:paraId="1B4F67A4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5047C53C" w14:textId="77777777" w:rsidR="008A332F" w:rsidRDefault="00D82A2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C6673A6" w14:textId="1B63CE2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43FFA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F0A33">
        <w:rPr>
          <w:rFonts w:ascii="Arial" w:hAnsi="Arial" w:cs="Arial"/>
          <w:b/>
          <w:color w:val="auto"/>
          <w:sz w:val="24"/>
          <w:szCs w:val="24"/>
        </w:rPr>
        <w:t>20</w:t>
      </w:r>
      <w:r w:rsidR="00A15AD9">
        <w:rPr>
          <w:rFonts w:ascii="Arial" w:hAnsi="Arial" w:cs="Arial"/>
          <w:b/>
          <w:color w:val="auto"/>
          <w:sz w:val="24"/>
          <w:szCs w:val="24"/>
        </w:rPr>
        <w:t>20</w:t>
      </w:r>
      <w:r w:rsidR="000529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316F93E1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E8B65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88D9DC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A8C76" w14:textId="77777777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e-Zamówienia</w:t>
            </w:r>
            <w:proofErr w:type="gramEnd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elektroniczne zamówienia publiczne </w:t>
            </w:r>
          </w:p>
        </w:tc>
      </w:tr>
      <w:tr w:rsidR="00CA516B" w:rsidRPr="002B50C0" w14:paraId="27879E6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D1435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11DE3C" w14:textId="77777777" w:rsidR="006D36B5" w:rsidRPr="0039474B" w:rsidRDefault="006D36B5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Urząd Zamówień Publicznych </w:t>
            </w:r>
          </w:p>
        </w:tc>
      </w:tr>
      <w:tr w:rsidR="00CA516B" w:rsidRPr="0030196F" w14:paraId="4897F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D3CF60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74B14" w14:textId="77777777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Urząd Zamówień Publicznych</w:t>
            </w:r>
          </w:p>
        </w:tc>
      </w:tr>
      <w:tr w:rsidR="00CA516B" w:rsidRPr="002B50C0" w14:paraId="623DC0A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EE1A07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92F05" w14:textId="77777777"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Ministerstwo Cyfryzacji </w:t>
            </w:r>
          </w:p>
        </w:tc>
      </w:tr>
      <w:tr w:rsidR="00CA516B" w:rsidRPr="002B50C0" w14:paraId="37E67B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14F82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19597" w14:textId="77777777" w:rsidR="006D36B5" w:rsidRPr="0039474B" w:rsidRDefault="006D36B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– część 49 Urząd Zamówień Publicznych</w:t>
            </w:r>
          </w:p>
          <w:p w14:paraId="0F548106" w14:textId="77777777" w:rsidR="006D36B5" w:rsidRPr="0039474B" w:rsidRDefault="006D36B5" w:rsidP="009B19C8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europejskie –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Porozumienie nr POPC.02.01.00-00-0101/19-00 </w:t>
            </w:r>
            <w:proofErr w:type="gramStart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proofErr w:type="gramEnd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Operacyjnego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Polska Cyfrowa na lata 2014-2020, Oś Priorytetowa nr 2 „E-administracja i otwarty rząd”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Działanie 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2.1 „Wysoka dostępność i jakość e-usług publicznych”</w:t>
            </w:r>
          </w:p>
        </w:tc>
      </w:tr>
      <w:tr w:rsidR="00CA516B" w:rsidRPr="002B50C0" w14:paraId="07CDC6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17F48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20DCDE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A089A7" w14:textId="73E6482E" w:rsidR="00125B87" w:rsidRPr="0039474B" w:rsidRDefault="00F83D0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41 594 304,00 zł</w:t>
            </w:r>
          </w:p>
        </w:tc>
      </w:tr>
      <w:tr w:rsidR="005212C8" w:rsidRPr="002B50C0" w14:paraId="1FDE234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35A5CA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62820" w14:textId="1D9A7CF7" w:rsidR="00125B87" w:rsidRPr="0039474B" w:rsidRDefault="00F83D0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41 594 304,00 zł</w:t>
            </w:r>
          </w:p>
        </w:tc>
      </w:tr>
      <w:tr w:rsidR="00CA516B" w:rsidRPr="002B50C0" w14:paraId="15EFE3A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7FC117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C37D92E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937B59" w14:textId="77777777" w:rsidR="00CA516B" w:rsidRPr="0039474B" w:rsidRDefault="00020C6C" w:rsidP="00F276B5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2019 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3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2022</w:t>
            </w:r>
          </w:p>
        </w:tc>
      </w:tr>
    </w:tbl>
    <w:p w14:paraId="2EFDE4E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D4313DC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0718C4">
        <w:rPr>
          <w:rFonts w:ascii="Arial" w:hAnsi="Arial" w:cs="Arial"/>
          <w:color w:val="000000" w:themeColor="text1"/>
        </w:rPr>
        <w:tab/>
      </w:r>
      <w:r w:rsidR="00D20A81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Ustawa z dnia 11 września 2019 r. 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Prawo zamówień publicznych (Dz.U. </w:t>
      </w:r>
      <w:proofErr w:type="gramStart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z</w:t>
      </w:r>
      <w:proofErr w:type="gramEnd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2019 r.</w:t>
      </w:r>
      <w:r w:rsidR="007F5437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,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poz. 2019)</w:t>
      </w:r>
    </w:p>
    <w:p w14:paraId="715DC39F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46F01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526AFC3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8318F3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04F7CA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2D32B381" w14:textId="77777777" w:rsidTr="00795AFA">
        <w:tc>
          <w:tcPr>
            <w:tcW w:w="2972" w:type="dxa"/>
          </w:tcPr>
          <w:p w14:paraId="41916B2B" w14:textId="77777777" w:rsidR="00325E47" w:rsidRPr="002B6DBA" w:rsidRDefault="00325E47" w:rsidP="00450089">
            <w:pPr>
              <w:rPr>
                <w:rFonts w:ascii="Arial" w:hAnsi="Arial" w:cs="Arial"/>
                <w:strike/>
                <w:color w:val="FF0000"/>
                <w:sz w:val="18"/>
                <w:szCs w:val="20"/>
              </w:rPr>
            </w:pPr>
          </w:p>
          <w:p w14:paraId="02C9310F" w14:textId="365D4FD4" w:rsidR="009969A5" w:rsidRPr="002B6DBA" w:rsidRDefault="00783BE0" w:rsidP="00450089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44,44</w:t>
            </w:r>
            <w:r w:rsidR="009A036A" w:rsidRPr="00E41908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6E5E67E7" w14:textId="2970A99C" w:rsidR="00C7749F" w:rsidRPr="00E41908" w:rsidRDefault="00783BE0" w:rsidP="000F526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19,1</w:t>
            </w:r>
            <w:r w:rsidR="009A036A" w:rsidRPr="00E4190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14:paraId="36C4E8C1" w14:textId="1D93D071" w:rsidR="009969A5" w:rsidRPr="00E41908" w:rsidRDefault="00783BE0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12,8</w:t>
            </w:r>
            <w:r w:rsidR="004B4ACE" w:rsidRPr="00E4190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% </w:t>
            </w:r>
          </w:p>
          <w:p w14:paraId="0FDBC76D" w14:textId="28BF56A0" w:rsidR="000F5260" w:rsidRPr="00E41908" w:rsidRDefault="000F5260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190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  <w:p w14:paraId="3B21F3E1" w14:textId="77777777" w:rsidR="005A57F1" w:rsidRPr="002B6DBA" w:rsidRDefault="005A57F1" w:rsidP="005A57F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095C852" w14:textId="4E83BAD2" w:rsidR="005A57F1" w:rsidRPr="00E41908" w:rsidRDefault="009A036A" w:rsidP="006E4EF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1908">
              <w:rPr>
                <w:rFonts w:ascii="Arial" w:hAnsi="Arial" w:cs="Arial"/>
                <w:color w:val="000000" w:themeColor="text1"/>
                <w:sz w:val="18"/>
                <w:szCs w:val="18"/>
              </w:rPr>
              <w:t>81,7 %</w:t>
            </w:r>
          </w:p>
        </w:tc>
      </w:tr>
    </w:tbl>
    <w:p w14:paraId="0D1D1ACE" w14:textId="77777777" w:rsidR="0041348B" w:rsidRDefault="0041348B" w:rsidP="0041348B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09A1A7E" w14:textId="21EDE653" w:rsidR="0041348B" w:rsidRDefault="0041348B" w:rsidP="0041348B"/>
    <w:p w14:paraId="3EA9B3A7" w14:textId="5C463148" w:rsidR="00A25358" w:rsidRDefault="00A25358" w:rsidP="0041348B"/>
    <w:p w14:paraId="0BDD7AD0" w14:textId="1A4F5FF4" w:rsidR="00A25358" w:rsidRDefault="00A25358" w:rsidP="0041348B"/>
    <w:p w14:paraId="7220C22B" w14:textId="147A347F" w:rsidR="00A25358" w:rsidRDefault="00A25358" w:rsidP="0041348B"/>
    <w:p w14:paraId="2F3CA5E8" w14:textId="77777777" w:rsidR="00A25358" w:rsidRPr="0041348B" w:rsidRDefault="00A25358" w:rsidP="0041348B"/>
    <w:p w14:paraId="22F71C75" w14:textId="77777777"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7D0B6F52" w14:textId="77777777" w:rsidR="0041348B" w:rsidRPr="0041348B" w:rsidRDefault="0041348B" w:rsidP="0041348B"/>
    <w:p w14:paraId="3ABA8D2F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7BBCC659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1C7093C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BA0F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BECA1C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2007294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4DC78EC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25376372" w14:textId="77777777" w:rsidTr="00812076">
        <w:trPr>
          <w:trHeight w:val="2528"/>
        </w:trPr>
        <w:tc>
          <w:tcPr>
            <w:tcW w:w="2127" w:type="dxa"/>
          </w:tcPr>
          <w:p w14:paraId="141239AC" w14:textId="77777777" w:rsidR="000D2C4A" w:rsidRDefault="001E654F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1. </w:t>
            </w:r>
            <w:r w:rsidR="005D3910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usług Rejestracji podmiotów, Komunikacji Interesariuszy, przygotowania, składania i otwarcia ofert/wniosków</w:t>
            </w:r>
          </w:p>
          <w:p w14:paraId="1A3B4059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E204708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75200A7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4FF00585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4610AD03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08CA22EF" w14:textId="77777777" w:rsidR="005D3910" w:rsidRPr="00141A92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1E" w14:textId="77777777"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FF6123" w14:textId="1B88CFA4"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F5260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5A256615" w14:textId="3BA63C55" w:rsidR="00C66F79" w:rsidRPr="00D82A25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7CA164F" w14:textId="77777777" w:rsidR="004350B8" w:rsidRDefault="007256A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  <w:p w14:paraId="4EC6B701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678731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BA36DE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D7DB35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016422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6B4B0F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2B6F11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0B93E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DF3FBD" w14:textId="77777777"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D02AF" w14:textId="77777777" w:rsidR="005D3910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47CE949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0E7D12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E0F66D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E5A9A1A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D69D81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653155" w14:textId="77777777"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22710E" w14:textId="77777777" w:rsidR="00503E23" w:rsidRPr="00141A92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D580493" w14:textId="77777777" w:rsidR="004350B8" w:rsidRPr="001E654F" w:rsidRDefault="004350B8" w:rsidP="00237279">
            <w:pPr>
              <w:pStyle w:val="Akapitzlist"/>
              <w:ind w:left="7"/>
              <w:rPr>
                <w:rFonts w:ascii="Arial" w:hAnsi="Arial" w:cs="Arial"/>
                <w:strike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04B430C1" w14:textId="4483FA22" w:rsidR="00960FD0" w:rsidRPr="001168BA" w:rsidRDefault="00A15AD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Realizowany</w:t>
            </w:r>
          </w:p>
          <w:p w14:paraId="574E00E0" w14:textId="5F5936C2" w:rsidR="00783BE0" w:rsidRPr="0091069C" w:rsidRDefault="00783BE0" w:rsidP="00783BE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rejestracji podmiotów został</w:t>
            </w:r>
            <w:r w:rsidR="002D52B4"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udostępniona użytkownikom w listopadzie 2020 r. Użytkownikom udostępniony został Moduł Tożsamości, który umożliwia rejestrację podmiotów w roli Zamawiających, Wykonawców lub innych Użytkowników. Do dyspozycji użytkowników oddano także System Obsługi Zgłoszeń, za pośrednictwem, którego można zgłaszać pytania i problemy dotyczące funkcjonowania Platformy e-Zamówienia, Portal Dostępowy, na którym znajdą się aktualności, statystyki, FAQ – gdzie można znaleźć odpowiedzi na najczęściej zadawane przez użytkowników pytania oraz komponent edukacyjny, który zawiera interaktywne instrukcje przedstawiające udostępnione funkcjonalności systemu. </w:t>
            </w:r>
          </w:p>
          <w:p w14:paraId="0FBF1C2E" w14:textId="77777777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31A8CFCD" w14:textId="77777777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3438C311" w14:textId="77777777"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14:paraId="00A0239E" w14:textId="77777777" w:rsidR="006B5117" w:rsidRPr="00960FD0" w:rsidRDefault="006B51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831FF8" w14:textId="77777777" w:rsidR="005D3910" w:rsidRPr="00B71733" w:rsidRDefault="005D3910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6E3015" w14:textId="77777777" w:rsidR="005D3910" w:rsidRPr="001E654F" w:rsidRDefault="005D3910" w:rsidP="006B5117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B71733" w:rsidRPr="002B50C0" w14:paraId="633D3283" w14:textId="77777777" w:rsidTr="006B5117">
        <w:tc>
          <w:tcPr>
            <w:tcW w:w="2127" w:type="dxa"/>
          </w:tcPr>
          <w:p w14:paraId="58EEC505" w14:textId="77777777"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2.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Ogłoszeń w zakresie ogłoszeń poniżej progów unijnych</w:t>
            </w:r>
          </w:p>
          <w:p w14:paraId="5B0946A4" w14:textId="77777777" w:rsidR="00B71733" w:rsidRPr="00B71733" w:rsidRDefault="00B71733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00E2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208990" w14:textId="703453F8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837F2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ADEDBC7" w14:textId="4C9C355C" w:rsidR="00C66F79" w:rsidRPr="00D82A25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A22DF2" w14:textId="77777777" w:rsidR="00B71733" w:rsidRDefault="00B71733" w:rsidP="00B717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62C96FC8" w14:textId="77777777" w:rsidR="00B71733" w:rsidRPr="00B71733" w:rsidRDefault="00B71733" w:rsidP="00237279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14:paraId="64D247CF" w14:textId="77777777" w:rsidR="00B71733" w:rsidRPr="007D2118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4E20293" w14:textId="77777777" w:rsidR="00F83D00" w:rsidRPr="001168BA" w:rsidRDefault="00F83D00" w:rsidP="00F83D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Realizowany</w:t>
            </w:r>
          </w:p>
          <w:p w14:paraId="7219CF93" w14:textId="6A2B94DA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B71733" w:rsidRPr="002B50C0" w14:paraId="118FB169" w14:textId="77777777" w:rsidTr="006B5117">
        <w:tc>
          <w:tcPr>
            <w:tcW w:w="2127" w:type="dxa"/>
          </w:tcPr>
          <w:p w14:paraId="3DC7AC06" w14:textId="77777777"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3.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</w:t>
            </w:r>
            <w:r w:rsidR="00B7173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ę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pnienie Modułu Ogłoszeń w zakresie ogłoszeń powyżej progów unijnych, usługa </w:t>
            </w:r>
            <w:proofErr w:type="spellStart"/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eSender</w:t>
            </w:r>
            <w:proofErr w:type="spellEnd"/>
          </w:p>
          <w:p w14:paraId="301F3341" w14:textId="77777777" w:rsidR="00B71733" w:rsidRPr="00C1381E" w:rsidRDefault="00B71733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6F898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97E39B" w14:textId="762267F6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54039D94" w14:textId="42A7DAC7"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9C122BD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12-2021</w:t>
            </w:r>
          </w:p>
          <w:p w14:paraId="715E7CAE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0E21F1D" w14:textId="77777777"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D077C6" w14:textId="77777777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B71733" w:rsidRPr="002B50C0" w14:paraId="7FDB718E" w14:textId="77777777" w:rsidTr="006B5117">
        <w:tc>
          <w:tcPr>
            <w:tcW w:w="2127" w:type="dxa"/>
          </w:tcPr>
          <w:p w14:paraId="5095D1C0" w14:textId="77777777" w:rsidR="00B71733" w:rsidRPr="00C1381E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4.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Monitorowania i Analiz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ADE1" w14:textId="77777777"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483B7" w14:textId="5F5510E0"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23DCBA3" w14:textId="7DA12064"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7BA02FB" w14:textId="77777777"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16113E10" w14:textId="77777777"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E86AE5A" w14:textId="77777777" w:rsidR="00B71733" w:rsidRPr="001168BA" w:rsidRDefault="00B7173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20A06400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3F2567E1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42920F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8E1F90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01B207E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BBA35FF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1B668A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82A25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82A25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DD8BF08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5E17E23" w14:textId="77777777" w:rsidTr="00047D9D">
        <w:tc>
          <w:tcPr>
            <w:tcW w:w="2545" w:type="dxa"/>
          </w:tcPr>
          <w:p w14:paraId="190EF1A4" w14:textId="77777777" w:rsidR="00A878F4" w:rsidRPr="00A878F4" w:rsidRDefault="00A878F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207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6C6567">
              <w:rPr>
                <w:rFonts w:ascii="Arial" w:hAnsi="Arial" w:cs="Arial"/>
                <w:sz w:val="18"/>
                <w:szCs w:val="18"/>
              </w:rPr>
              <w:t xml:space="preserve">Wskaźnik kluczowy (obligatoryjny) – wskaźnik produktu: </w:t>
            </w:r>
            <w:r w:rsidRPr="00812076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stopniu </w:t>
            </w:r>
            <w:proofErr w:type="gramStart"/>
            <w:r w:rsidRPr="00812076">
              <w:rPr>
                <w:rFonts w:ascii="Arial" w:hAnsi="Arial" w:cs="Arial"/>
                <w:sz w:val="18"/>
                <w:szCs w:val="18"/>
              </w:rPr>
              <w:t>dojrzałości co</w:t>
            </w:r>
            <w:proofErr w:type="gramEnd"/>
            <w:r w:rsidRPr="00812076">
              <w:rPr>
                <w:rFonts w:ascii="Arial" w:hAnsi="Arial" w:cs="Arial"/>
                <w:sz w:val="18"/>
                <w:szCs w:val="18"/>
              </w:rPr>
              <w:t xml:space="preserve"> najmniej 4 – transakcje</w:t>
            </w:r>
          </w:p>
        </w:tc>
        <w:tc>
          <w:tcPr>
            <w:tcW w:w="1278" w:type="dxa"/>
          </w:tcPr>
          <w:p w14:paraId="6D58DE51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0555BD0B" w14:textId="77777777" w:rsidR="00A878F4" w:rsidRDefault="006C6567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14:paraId="45420CF6" w14:textId="77777777" w:rsidR="000718C4" w:rsidRPr="001168BA" w:rsidRDefault="000718C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11F81B87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7644BB91" w14:textId="77777777" w:rsidR="00A878F4" w:rsidRPr="001168BA" w:rsidRDefault="00A878F4" w:rsidP="006A60AA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45DCAC5A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DCCCA25" w14:textId="77777777" w:rsidR="006A60AA" w:rsidRPr="001168BA" w:rsidRDefault="006A60AA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73B1EC" w14:textId="77777777" w:rsidR="00A878F4" w:rsidRPr="001168BA" w:rsidRDefault="006C656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14:paraId="157DABB0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13049A5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485F618" w14:textId="77777777" w:rsidR="00A878F4" w:rsidRPr="001168BA" w:rsidRDefault="00A878F4" w:rsidP="00A878F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3E9E35" w14:textId="77777777" w:rsidR="009F6901" w:rsidRPr="00D82A25" w:rsidRDefault="009F690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 usługa – 12.2020</w:t>
            </w:r>
          </w:p>
          <w:p w14:paraId="57482687" w14:textId="77777777" w:rsidR="009F6901" w:rsidRPr="00D82A25" w:rsidRDefault="003C0548" w:rsidP="0041348B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</w:t>
            </w:r>
            <w:r w:rsidR="009F6901" w:rsidRPr="00D82A25">
              <w:rPr>
                <w:rFonts w:ascii="Arial" w:hAnsi="Arial" w:cs="Arial"/>
                <w:sz w:val="18"/>
                <w:szCs w:val="18"/>
              </w:rPr>
              <w:t xml:space="preserve"> usługa – 05.2022</w:t>
            </w:r>
            <w:r w:rsidR="00AB5542" w:rsidRPr="00D82A2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05FAE9A1" w14:textId="2CE85A23" w:rsidR="006A60AA" w:rsidRPr="00812076" w:rsidRDefault="006A60AA" w:rsidP="006A60AA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  <w:tr w:rsidR="00A878F4" w:rsidRPr="002B50C0" w14:paraId="2F7CEE5D" w14:textId="77777777" w:rsidTr="00047D9D">
        <w:tc>
          <w:tcPr>
            <w:tcW w:w="2545" w:type="dxa"/>
          </w:tcPr>
          <w:p w14:paraId="36B0C47B" w14:textId="77777777" w:rsidR="00A878F4" w:rsidRPr="00FE2732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2.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E6C44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53C2E6A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0CD7DD0" w14:textId="77777777" w:rsidR="003C0548" w:rsidRPr="00D82A25" w:rsidRDefault="003C0548" w:rsidP="003C054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</w:t>
            </w:r>
            <w:r w:rsidR="0041348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- 12.2021</w:t>
            </w:r>
          </w:p>
          <w:p w14:paraId="56605E37" w14:textId="77777777" w:rsidR="003C0548" w:rsidRPr="00D82A25" w:rsidRDefault="003C0548" w:rsidP="0041348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 – 0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AB5542" w:rsidRPr="00D82A25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4A0B5306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6DB6AF2A" w14:textId="77777777" w:rsidTr="00D82A25">
        <w:trPr>
          <w:trHeight w:val="186"/>
        </w:trPr>
        <w:tc>
          <w:tcPr>
            <w:tcW w:w="2545" w:type="dxa"/>
          </w:tcPr>
          <w:p w14:paraId="66D12FD0" w14:textId="77777777" w:rsidR="00A878F4" w:rsidRPr="00FE2732" w:rsidRDefault="00A878F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3.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242A17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06F5A92" w14:textId="77777777" w:rsidR="00A878F4" w:rsidRPr="001168BA" w:rsidRDefault="00A878F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F25EF3" w14:textId="77777777" w:rsidR="00A878F4" w:rsidRPr="00D82A25" w:rsidRDefault="00576C6D" w:rsidP="002B2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2EE6" w:rsidRPr="00D82A25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2268" w:type="dxa"/>
          </w:tcPr>
          <w:p w14:paraId="0F313479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4C866D4C" w14:textId="77777777" w:rsidTr="00047D9D">
        <w:tc>
          <w:tcPr>
            <w:tcW w:w="2545" w:type="dxa"/>
          </w:tcPr>
          <w:p w14:paraId="146ADAB7" w14:textId="77777777" w:rsidR="00A878F4" w:rsidRPr="00FE2732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4.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szkoleniowym, wartość docelowa</w:t>
            </w:r>
          </w:p>
        </w:tc>
        <w:tc>
          <w:tcPr>
            <w:tcW w:w="1278" w:type="dxa"/>
          </w:tcPr>
          <w:p w14:paraId="62556D14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4686DD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700</w:t>
            </w:r>
          </w:p>
        </w:tc>
        <w:tc>
          <w:tcPr>
            <w:tcW w:w="1701" w:type="dxa"/>
          </w:tcPr>
          <w:p w14:paraId="66B083A8" w14:textId="77777777" w:rsidR="00A878F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1CB7A6CB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78F4" w:rsidRPr="002B50C0" w14:paraId="0363C2F8" w14:textId="77777777" w:rsidTr="00047D9D">
        <w:tc>
          <w:tcPr>
            <w:tcW w:w="2545" w:type="dxa"/>
          </w:tcPr>
          <w:p w14:paraId="5C1BD540" w14:textId="77777777" w:rsidR="00A878F4" w:rsidRPr="00FE2732" w:rsidRDefault="00EE5714" w:rsidP="00812076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5.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14:paraId="32D0CD85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0F6935EB" w14:textId="77777777" w:rsidR="00A878F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5246409A" w14:textId="77777777" w:rsidR="00A878F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6C2931AE" w14:textId="77777777" w:rsidR="00A878F4" w:rsidRPr="00141A92" w:rsidRDefault="00A878F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E5714" w:rsidRPr="002B50C0" w14:paraId="42340599" w14:textId="77777777" w:rsidTr="00047D9D">
        <w:tc>
          <w:tcPr>
            <w:tcW w:w="2545" w:type="dxa"/>
          </w:tcPr>
          <w:p w14:paraId="253B6728" w14:textId="77777777" w:rsidR="00EE5714" w:rsidRPr="00FE2732" w:rsidRDefault="00EE571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6.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="006C6567"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72F132CF" w14:textId="77777777"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14:paraId="2A3721C4" w14:textId="77777777" w:rsidR="00EE5714" w:rsidRPr="001168BA" w:rsidRDefault="00EE571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20172BB4" w14:textId="77777777" w:rsidR="00EE5714" w:rsidRPr="00D82A25" w:rsidRDefault="002B2EE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33F46784" w14:textId="77777777" w:rsidR="00EE5714" w:rsidRPr="00141A92" w:rsidRDefault="00EE5714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168BA" w:rsidRPr="002B50C0" w14:paraId="2EFC293E" w14:textId="77777777" w:rsidTr="00047D9D">
        <w:tc>
          <w:tcPr>
            <w:tcW w:w="2545" w:type="dxa"/>
          </w:tcPr>
          <w:p w14:paraId="60C7A5D5" w14:textId="77777777" w:rsidR="001168BA" w:rsidRPr="001168BA" w:rsidRDefault="00515DA1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7. Wskaźnik specyficzny dla projektu – wskaźnik rezultatu bezpośredniego: Liczba załatwionych spraw poprzez udostę</w:t>
            </w:r>
            <w:r w:rsidR="00F9693F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pnioną on-line usługę publiczną</w:t>
            </w:r>
          </w:p>
        </w:tc>
        <w:tc>
          <w:tcPr>
            <w:tcW w:w="1278" w:type="dxa"/>
          </w:tcPr>
          <w:p w14:paraId="6631C1C1" w14:textId="77777777"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14:paraId="1DE3001A" w14:textId="77777777" w:rsidR="001168BA" w:rsidRPr="001168BA" w:rsidRDefault="00515DA1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</w:tcPr>
          <w:p w14:paraId="2887AA02" w14:textId="77777777" w:rsidR="001168BA" w:rsidRPr="00D82A25" w:rsidRDefault="00576C6D" w:rsidP="00576C6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08.2023</w:t>
            </w:r>
          </w:p>
        </w:tc>
        <w:tc>
          <w:tcPr>
            <w:tcW w:w="2268" w:type="dxa"/>
          </w:tcPr>
          <w:p w14:paraId="7791C9EB" w14:textId="77777777" w:rsidR="001168BA" w:rsidRPr="00141A92" w:rsidRDefault="001168B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AC70685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0D87FDB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51CB5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CF3D80C" w14:textId="77777777" w:rsidR="007D38BD" w:rsidRPr="00D82A2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82A25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1B42AB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7D7669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520CBB" w14:textId="77777777" w:rsidTr="00517F12">
        <w:tc>
          <w:tcPr>
            <w:tcW w:w="2937" w:type="dxa"/>
          </w:tcPr>
          <w:p w14:paraId="351DDC54" w14:textId="77777777" w:rsidR="003F64B9" w:rsidRPr="00787828" w:rsidRDefault="003F64B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1. Udział wykonawcy w postępowaniu o udzielenie zamówienia publicznego na różnych etapach.</w:t>
            </w:r>
          </w:p>
          <w:p w14:paraId="559A63D9" w14:textId="77777777" w:rsidR="00DD3529" w:rsidRPr="00787828" w:rsidRDefault="00DD352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F553CD" w14:textId="77777777" w:rsidR="007D38BD" w:rsidRPr="00D82A25" w:rsidRDefault="00436AF8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14:paraId="449C9C64" w14:textId="77777777" w:rsidR="007D38BD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72875A7" w14:textId="77777777" w:rsidR="00436AF8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763672E3" w14:textId="77777777" w:rsidR="007D38BD" w:rsidRPr="00812076" w:rsidRDefault="007D38BD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1E26BE6" w14:textId="289BD33B" w:rsidR="007D38BD" w:rsidRPr="0091069C" w:rsidRDefault="0091069C" w:rsidP="00EB139F">
            <w:pPr>
              <w:rPr>
                <w:rFonts w:ascii="Arial" w:hAnsi="Arial" w:cs="Arial"/>
                <w:sz w:val="18"/>
                <w:szCs w:val="20"/>
              </w:rPr>
            </w:pPr>
            <w:r w:rsidRPr="0091069C">
              <w:rPr>
                <w:rFonts w:ascii="Arial" w:hAnsi="Arial" w:cs="Arial"/>
                <w:sz w:val="18"/>
                <w:szCs w:val="20"/>
              </w:rPr>
              <w:t xml:space="preserve">Ze względu </w:t>
            </w:r>
            <w:r>
              <w:rPr>
                <w:rFonts w:ascii="Arial" w:hAnsi="Arial" w:cs="Arial"/>
                <w:sz w:val="18"/>
                <w:szCs w:val="20"/>
              </w:rPr>
              <w:t xml:space="preserve">na przedłużające się postępowanie </w:t>
            </w:r>
            <w:proofErr w:type="spellStart"/>
            <w:r w:rsidRPr="0091069C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91069C">
              <w:rPr>
                <w:rFonts w:ascii="Arial" w:hAnsi="Arial" w:cs="Arial"/>
                <w:sz w:val="18"/>
                <w:szCs w:val="20"/>
              </w:rPr>
              <w:t xml:space="preserve"> dotyczą</w:t>
            </w:r>
            <w:r>
              <w:rPr>
                <w:rFonts w:ascii="Arial" w:hAnsi="Arial" w:cs="Arial"/>
                <w:sz w:val="18"/>
                <w:szCs w:val="20"/>
              </w:rPr>
              <w:t>ce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wyboru Wykonawcy Platformy e-Zamówienia, </w:t>
            </w:r>
            <w:r>
              <w:rPr>
                <w:rFonts w:ascii="Arial" w:hAnsi="Arial" w:cs="Arial"/>
                <w:sz w:val="18"/>
                <w:szCs w:val="20"/>
              </w:rPr>
              <w:t xml:space="preserve">które </w:t>
            </w:r>
            <w:r w:rsidR="00DB07F3">
              <w:rPr>
                <w:rFonts w:ascii="Arial" w:hAnsi="Arial" w:cs="Arial"/>
                <w:sz w:val="18"/>
                <w:szCs w:val="20"/>
              </w:rPr>
              <w:t>trwało od 17-09-2019 – 31.03.2020</w:t>
            </w:r>
            <w:r w:rsidR="00EB139F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Start"/>
            <w:r w:rsidRPr="0091069C"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 w:rsidRPr="0091069C">
              <w:rPr>
                <w:rFonts w:ascii="Arial" w:hAnsi="Arial" w:cs="Arial"/>
                <w:sz w:val="18"/>
                <w:szCs w:val="20"/>
              </w:rPr>
              <w:t xml:space="preserve"> tym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konieczność </w:t>
            </w:r>
            <w:r w:rsidRPr="0091069C">
              <w:rPr>
                <w:rFonts w:ascii="Arial" w:hAnsi="Arial" w:cs="Arial"/>
                <w:sz w:val="18"/>
                <w:szCs w:val="20"/>
              </w:rPr>
              <w:t>dostosowania</w:t>
            </w:r>
            <w:r>
              <w:rPr>
                <w:rFonts w:ascii="Arial" w:hAnsi="Arial" w:cs="Arial"/>
                <w:sz w:val="18"/>
                <w:szCs w:val="20"/>
              </w:rPr>
              <w:t xml:space="preserve"> terminów w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harmono</w:t>
            </w:r>
            <w:r>
              <w:rPr>
                <w:rFonts w:ascii="Arial" w:hAnsi="Arial" w:cs="Arial"/>
                <w:sz w:val="18"/>
                <w:szCs w:val="20"/>
              </w:rPr>
              <w:t>gramie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 w:rsidR="00EB139F">
              <w:rPr>
                <w:rFonts w:ascii="Arial" w:hAnsi="Arial" w:cs="Arial"/>
                <w:sz w:val="18"/>
                <w:szCs w:val="20"/>
              </w:rPr>
              <w:t>(</w:t>
            </w:r>
            <w:r w:rsidRPr="0091069C">
              <w:rPr>
                <w:rFonts w:ascii="Arial" w:hAnsi="Arial" w:cs="Arial"/>
                <w:sz w:val="18"/>
                <w:szCs w:val="20"/>
              </w:rPr>
              <w:t>przed podpisanie</w:t>
            </w:r>
            <w:r w:rsidR="00EB139F">
              <w:rPr>
                <w:rFonts w:ascii="Arial" w:hAnsi="Arial" w:cs="Arial"/>
                <w:sz w:val="18"/>
                <w:szCs w:val="20"/>
              </w:rPr>
              <w:t>m umowy)</w:t>
            </w:r>
            <w:r>
              <w:rPr>
                <w:rFonts w:ascii="Arial" w:hAnsi="Arial" w:cs="Arial"/>
                <w:sz w:val="18"/>
                <w:szCs w:val="20"/>
              </w:rPr>
              <w:t xml:space="preserve"> o przesuniecie rzędu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3 miesięcy w wyniku </w:t>
            </w:r>
            <w:r w:rsidR="00EB139F">
              <w:rPr>
                <w:rFonts w:ascii="Arial" w:hAnsi="Arial" w:cs="Arial"/>
                <w:sz w:val="18"/>
                <w:szCs w:val="20"/>
              </w:rPr>
              <w:t xml:space="preserve">tej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okoliczności,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rzeczywisty planowany termin realizacji usługi to </w:t>
            </w:r>
            <w:r w:rsidR="00DB07F3">
              <w:rPr>
                <w:rFonts w:ascii="Arial" w:hAnsi="Arial" w:cs="Arial"/>
                <w:sz w:val="18"/>
                <w:szCs w:val="20"/>
              </w:rPr>
              <w:t xml:space="preserve">koniec </w:t>
            </w:r>
            <w:r w:rsidRPr="0091069C">
              <w:rPr>
                <w:rFonts w:ascii="Arial" w:hAnsi="Arial" w:cs="Arial"/>
                <w:sz w:val="18"/>
                <w:szCs w:val="20"/>
              </w:rPr>
              <w:t>I kwartał 2021 r.</w:t>
            </w:r>
          </w:p>
        </w:tc>
      </w:tr>
      <w:tr w:rsidR="007D2118" w:rsidRPr="002B50C0" w14:paraId="09F7C95F" w14:textId="77777777" w:rsidTr="00517F12">
        <w:tc>
          <w:tcPr>
            <w:tcW w:w="2937" w:type="dxa"/>
          </w:tcPr>
          <w:p w14:paraId="14BF21ED" w14:textId="77777777" w:rsidR="007D2118" w:rsidRPr="00787828" w:rsidRDefault="007D2118" w:rsidP="007D211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Monitorowanie rynku zamówień publicznych na podstawie zgromadzonych w CRD danych. </w:t>
            </w:r>
          </w:p>
          <w:p w14:paraId="03853939" w14:textId="77777777"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8F0F50F" w14:textId="77777777" w:rsidR="007D2118" w:rsidRPr="00D82A25" w:rsidRDefault="007D2118" w:rsidP="007D2118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14:paraId="3EF60083" w14:textId="77777777" w:rsidR="007D2118" w:rsidRPr="00D82A25" w:rsidRDefault="007D2118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7E7E870A" w14:textId="77777777"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570F8896" w14:textId="77777777" w:rsidR="007D2118" w:rsidRPr="0091069C" w:rsidRDefault="007D2118" w:rsidP="00C1106C">
            <w:pPr>
              <w:rPr>
                <w:rFonts w:ascii="Arial" w:hAnsi="Arial" w:cs="Arial"/>
                <w:strike/>
                <w:sz w:val="18"/>
                <w:szCs w:val="20"/>
              </w:rPr>
            </w:pPr>
          </w:p>
        </w:tc>
      </w:tr>
      <w:tr w:rsidR="00EB139F" w:rsidRPr="002B50C0" w14:paraId="5F0C923F" w14:textId="77777777" w:rsidTr="00517F12">
        <w:tc>
          <w:tcPr>
            <w:tcW w:w="2937" w:type="dxa"/>
          </w:tcPr>
          <w:p w14:paraId="01F5040D" w14:textId="77777777" w:rsidR="00EB139F" w:rsidRPr="00787828" w:rsidRDefault="00EB139F" w:rsidP="00EB139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Przygotowanie i prowadzenie postępowania o udzielenie zamówienia publicznego przez zamawiającego. </w:t>
            </w:r>
          </w:p>
          <w:p w14:paraId="2FA92597" w14:textId="77777777" w:rsidR="00EB139F" w:rsidRPr="00787828" w:rsidRDefault="00EB139F" w:rsidP="00EB139F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713D48C" w14:textId="77777777" w:rsidR="00EB139F" w:rsidRPr="00D82A25" w:rsidRDefault="00EB139F" w:rsidP="00EB139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14:paraId="1ECDBC4E" w14:textId="77777777" w:rsidR="00EB139F" w:rsidRPr="00D82A25" w:rsidRDefault="00EB139F" w:rsidP="00EB139F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14:paraId="55BDADB6" w14:textId="77777777" w:rsidR="00EB139F" w:rsidRPr="007D2118" w:rsidRDefault="00EB139F" w:rsidP="00EB139F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8BE13DA" w14:textId="76CD8122" w:rsidR="00EB139F" w:rsidRPr="0091069C" w:rsidRDefault="00DB07F3" w:rsidP="00DB07F3">
            <w:pPr>
              <w:rPr>
                <w:rFonts w:ascii="Arial" w:hAnsi="Arial" w:cs="Arial"/>
                <w:strike/>
                <w:sz w:val="18"/>
                <w:szCs w:val="20"/>
              </w:rPr>
            </w:pPr>
            <w:r w:rsidRPr="0091069C">
              <w:rPr>
                <w:rFonts w:ascii="Arial" w:hAnsi="Arial" w:cs="Arial"/>
                <w:sz w:val="18"/>
                <w:szCs w:val="20"/>
              </w:rPr>
              <w:t xml:space="preserve">Ze względu </w:t>
            </w:r>
            <w:r>
              <w:rPr>
                <w:rFonts w:ascii="Arial" w:hAnsi="Arial" w:cs="Arial"/>
                <w:sz w:val="18"/>
                <w:szCs w:val="20"/>
              </w:rPr>
              <w:t xml:space="preserve">na przedłużające się postępowanie </w:t>
            </w:r>
            <w:proofErr w:type="spellStart"/>
            <w:r w:rsidRPr="0091069C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91069C">
              <w:rPr>
                <w:rFonts w:ascii="Arial" w:hAnsi="Arial" w:cs="Arial"/>
                <w:sz w:val="18"/>
                <w:szCs w:val="20"/>
              </w:rPr>
              <w:t xml:space="preserve"> dotyczą</w:t>
            </w:r>
            <w:r>
              <w:rPr>
                <w:rFonts w:ascii="Arial" w:hAnsi="Arial" w:cs="Arial"/>
                <w:sz w:val="18"/>
                <w:szCs w:val="20"/>
              </w:rPr>
              <w:t>ce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wyboru Wykonawcy Platformy e-Zamówienia, </w:t>
            </w:r>
            <w:r>
              <w:rPr>
                <w:rFonts w:ascii="Arial" w:hAnsi="Arial" w:cs="Arial"/>
                <w:sz w:val="18"/>
                <w:szCs w:val="20"/>
              </w:rPr>
              <w:t xml:space="preserve">które trwało od 17-09-2019 – 31.03.2020, </w:t>
            </w:r>
            <w:proofErr w:type="gramStart"/>
            <w:r w:rsidRPr="0091069C"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 w:rsidRPr="0091069C">
              <w:rPr>
                <w:rFonts w:ascii="Arial" w:hAnsi="Arial" w:cs="Arial"/>
                <w:sz w:val="18"/>
                <w:szCs w:val="20"/>
              </w:rPr>
              <w:t xml:space="preserve"> tym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konieczność </w:t>
            </w:r>
            <w:r w:rsidRPr="0091069C">
              <w:rPr>
                <w:rFonts w:ascii="Arial" w:hAnsi="Arial" w:cs="Arial"/>
                <w:sz w:val="18"/>
                <w:szCs w:val="20"/>
              </w:rPr>
              <w:t>dostosowania</w:t>
            </w:r>
            <w:r>
              <w:rPr>
                <w:rFonts w:ascii="Arial" w:hAnsi="Arial" w:cs="Arial"/>
                <w:sz w:val="18"/>
                <w:szCs w:val="20"/>
              </w:rPr>
              <w:t xml:space="preserve"> terminów w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harmono</w:t>
            </w:r>
            <w:r>
              <w:rPr>
                <w:rFonts w:ascii="Arial" w:hAnsi="Arial" w:cs="Arial"/>
                <w:sz w:val="18"/>
                <w:szCs w:val="20"/>
              </w:rPr>
              <w:t>gramie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>
              <w:rPr>
                <w:rFonts w:ascii="Arial" w:hAnsi="Arial" w:cs="Arial"/>
                <w:sz w:val="18"/>
                <w:szCs w:val="20"/>
              </w:rPr>
              <w:t>(</w:t>
            </w:r>
            <w:r w:rsidRPr="0091069C">
              <w:rPr>
                <w:rFonts w:ascii="Arial" w:hAnsi="Arial" w:cs="Arial"/>
                <w:sz w:val="18"/>
                <w:szCs w:val="20"/>
              </w:rPr>
              <w:t>przed podpisanie</w:t>
            </w:r>
            <w:r>
              <w:rPr>
                <w:rFonts w:ascii="Arial" w:hAnsi="Arial" w:cs="Arial"/>
                <w:sz w:val="18"/>
                <w:szCs w:val="20"/>
              </w:rPr>
              <w:t>m umowy) o przesuniecie rzędu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3 miesięcy w wyniku </w:t>
            </w:r>
            <w:r>
              <w:rPr>
                <w:rFonts w:ascii="Arial" w:hAnsi="Arial" w:cs="Arial"/>
                <w:sz w:val="18"/>
                <w:szCs w:val="20"/>
              </w:rPr>
              <w:t xml:space="preserve">tej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okoliczności,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rzeczywisty planowany termin realizacji usługi to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 </w:t>
            </w:r>
            <w:r w:rsidRPr="0091069C">
              <w:rPr>
                <w:rFonts w:ascii="Arial" w:hAnsi="Arial" w:cs="Arial"/>
                <w:sz w:val="18"/>
                <w:szCs w:val="20"/>
              </w:rPr>
              <w:t>I kwartał 2021 r.</w:t>
            </w:r>
            <w:bookmarkStart w:id="0" w:name="_GoBack"/>
            <w:bookmarkEnd w:id="0"/>
          </w:p>
        </w:tc>
      </w:tr>
      <w:tr w:rsidR="00EB139F" w:rsidRPr="002B50C0" w14:paraId="70310ED7" w14:textId="77777777" w:rsidTr="00517F12">
        <w:tc>
          <w:tcPr>
            <w:tcW w:w="2937" w:type="dxa"/>
          </w:tcPr>
          <w:p w14:paraId="005364FD" w14:textId="77777777" w:rsidR="00EB139F" w:rsidRPr="00787828" w:rsidRDefault="00EB139F" w:rsidP="00EB139F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4. Zamieszczanie ogłoszeń i składanie rocznego sprawozdania przez Zamawiających.</w:t>
            </w:r>
          </w:p>
        </w:tc>
        <w:tc>
          <w:tcPr>
            <w:tcW w:w="1169" w:type="dxa"/>
          </w:tcPr>
          <w:p w14:paraId="1A55F92E" w14:textId="77777777" w:rsidR="00EB139F" w:rsidRPr="00D82A25" w:rsidRDefault="00EB139F" w:rsidP="00EB139F">
            <w:pPr>
              <w:rPr>
                <w:rFonts w:cs="Arial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</w:tc>
        <w:tc>
          <w:tcPr>
            <w:tcW w:w="1134" w:type="dxa"/>
          </w:tcPr>
          <w:p w14:paraId="6F452730" w14:textId="77777777" w:rsidR="00EB139F" w:rsidRPr="007D2118" w:rsidRDefault="00EB139F" w:rsidP="00EB139F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AFD3D9A" w14:textId="0EA87FD4" w:rsidR="00EB139F" w:rsidRPr="007D2118" w:rsidRDefault="00EB139F" w:rsidP="00EB139F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14:paraId="25133C67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E00FD47" w14:textId="77777777" w:rsidR="0041348B" w:rsidRPr="0041348B" w:rsidRDefault="0041348B" w:rsidP="0041348B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3B9A197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7018009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F999AD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D5B4B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B83D54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2710EC2" w14:textId="77777777" w:rsidTr="00C6751B">
        <w:tc>
          <w:tcPr>
            <w:tcW w:w="2937" w:type="dxa"/>
          </w:tcPr>
          <w:p w14:paraId="21CF3901" w14:textId="77777777"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CAA83E" w14:textId="77777777"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Centralne Repozytorium Danych </w:t>
            </w:r>
          </w:p>
          <w:p w14:paraId="6AA513EF" w14:textId="77777777" w:rsidR="00C6751B" w:rsidRPr="00787828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14:paraId="59FAA79E" w14:textId="77777777" w:rsidR="00C6751B" w:rsidRPr="00787828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FFD3289" w14:textId="77777777" w:rsidR="00406BE5" w:rsidRPr="00D82A25" w:rsidRDefault="00406BE5" w:rsidP="00406BE5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14:paraId="2F889F51" w14:textId="77777777" w:rsidR="00C6751B" w:rsidRPr="00787828" w:rsidRDefault="00C6751B" w:rsidP="007878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754AF7C" w14:textId="77777777" w:rsidR="00C6751B" w:rsidRPr="00641573" w:rsidRDefault="00C6751B" w:rsidP="00C6751B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6DCDF57" w14:textId="77777777" w:rsidR="00C6751B" w:rsidRPr="00641573" w:rsidRDefault="00C6751B" w:rsidP="00A44EA2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14:paraId="164FEF96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3A70F6F" w14:textId="77777777" w:rsidR="0041348B" w:rsidRPr="0041348B" w:rsidRDefault="0041348B" w:rsidP="0041348B"/>
    <w:tbl>
      <w:tblPr>
        <w:tblStyle w:val="Tabela-Siatka"/>
        <w:tblW w:w="9616" w:type="dxa"/>
        <w:tblLook w:val="04A0" w:firstRow="1" w:lastRow="0" w:firstColumn="1" w:lastColumn="0" w:noHBand="0" w:noVBand="1"/>
        <w:tblCaption w:val="Produkty końcowe projektu "/>
      </w:tblPr>
      <w:tblGrid>
        <w:gridCol w:w="2542"/>
        <w:gridCol w:w="1698"/>
        <w:gridCol w:w="1839"/>
        <w:gridCol w:w="3537"/>
      </w:tblGrid>
      <w:tr w:rsidR="004C1D48" w:rsidRPr="002B50C0" w14:paraId="33687E47" w14:textId="77777777" w:rsidTr="00D82A25">
        <w:trPr>
          <w:trHeight w:val="591"/>
          <w:tblHeader/>
        </w:trPr>
        <w:tc>
          <w:tcPr>
            <w:tcW w:w="2542" w:type="dxa"/>
            <w:shd w:val="clear" w:color="auto" w:fill="D0CECE" w:themeFill="background2" w:themeFillShade="E6"/>
          </w:tcPr>
          <w:p w14:paraId="0B07C2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698" w:type="dxa"/>
            <w:shd w:val="clear" w:color="auto" w:fill="D0CECE" w:themeFill="background2" w:themeFillShade="E6"/>
          </w:tcPr>
          <w:p w14:paraId="43C93C7E" w14:textId="77777777" w:rsidR="004C1D48" w:rsidRPr="00D82A25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39" w:type="dxa"/>
            <w:shd w:val="clear" w:color="auto" w:fill="D0CECE" w:themeFill="background2" w:themeFillShade="E6"/>
          </w:tcPr>
          <w:p w14:paraId="1A22779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7" w:type="dxa"/>
            <w:shd w:val="clear" w:color="auto" w:fill="D0CECE" w:themeFill="background2" w:themeFillShade="E6"/>
          </w:tcPr>
          <w:p w14:paraId="37523F6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9566B8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666E4C0F" w14:textId="77777777" w:rsidTr="00D82A25">
        <w:trPr>
          <w:trHeight w:val="3373"/>
        </w:trPr>
        <w:tc>
          <w:tcPr>
            <w:tcW w:w="2542" w:type="dxa"/>
          </w:tcPr>
          <w:p w14:paraId="4AC127E8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F24DF5F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Tożsamości </w:t>
            </w:r>
            <w:r w:rsidR="00540401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MT)</w:t>
            </w:r>
          </w:p>
          <w:p w14:paraId="749A3585" w14:textId="77777777" w:rsidR="00A86449" w:rsidRPr="00787828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B0432D0" w14:textId="77777777" w:rsidR="00A8644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Ogłoszeń (MO)</w:t>
            </w:r>
          </w:p>
          <w:p w14:paraId="4B1E4D5F" w14:textId="77777777"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8B205C" w14:textId="77777777" w:rsidR="00DD3529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Postępowań </w:t>
            </w:r>
            <w:r w:rsidR="00FB1814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(MP)</w:t>
            </w:r>
          </w:p>
          <w:p w14:paraId="48654403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FEEF1B7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Ofert/wniosków (MOW)</w:t>
            </w:r>
          </w:p>
          <w:p w14:paraId="3CBBF663" w14:textId="77777777"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1E80604" w14:textId="77777777"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Monitorowania i analiz (MMIA)</w:t>
            </w:r>
          </w:p>
          <w:p w14:paraId="0D3B76F6" w14:textId="77777777"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D4F74FD" w14:textId="77777777" w:rsidR="00201800" w:rsidRPr="00787828" w:rsidRDefault="000411D2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</w:t>
            </w:r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eSender</w:t>
            </w:r>
            <w:proofErr w:type="spellEnd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698" w:type="dxa"/>
          </w:tcPr>
          <w:p w14:paraId="2C47DB8A" w14:textId="77777777" w:rsidR="00A86449" w:rsidRPr="00D82A25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BBDF780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14:paraId="21CCD673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A4BB14D" w14:textId="77777777" w:rsidR="00DD3529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DD3529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14:paraId="54DDA14D" w14:textId="77777777"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81E801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14:paraId="73AE50D1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15F55B2" w14:textId="3C2482F3" w:rsidR="00201800" w:rsidRPr="00D82A25" w:rsidRDefault="00044BF2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  <w:p w14:paraId="41673334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F242BCF" w14:textId="77777777"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9B161F1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-2022</w:t>
            </w:r>
          </w:p>
          <w:p w14:paraId="450727CD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E8EC7BA" w14:textId="77777777"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69105C3" w14:textId="77777777" w:rsidR="00201800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14:paraId="0496BF7E" w14:textId="77777777" w:rsidR="00201800" w:rsidRPr="00D82A25" w:rsidRDefault="00201800" w:rsidP="000411D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14:paraId="70111841" w14:textId="77777777" w:rsidR="004C1D48" w:rsidRPr="00917AE4" w:rsidRDefault="004C1D48" w:rsidP="006251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3CFA59" w14:textId="3DCD3946" w:rsidR="00A44ED2" w:rsidRPr="00917AE4" w:rsidRDefault="00917AE4" w:rsidP="00A44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A44ED2" w:rsidRPr="00917AE4">
              <w:rPr>
                <w:rFonts w:ascii="Arial" w:hAnsi="Arial" w:cs="Arial"/>
                <w:sz w:val="18"/>
                <w:szCs w:val="18"/>
              </w:rPr>
              <w:t>2-11-2020</w:t>
            </w:r>
          </w:p>
        </w:tc>
        <w:tc>
          <w:tcPr>
            <w:tcW w:w="3537" w:type="dxa"/>
          </w:tcPr>
          <w:p w14:paraId="2E974860" w14:textId="77777777" w:rsidR="004C1D48" w:rsidRPr="00917AE4" w:rsidRDefault="004C1D48" w:rsidP="006251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CFD4E" w14:textId="413B0E8B" w:rsidR="00A44ED2" w:rsidRPr="00917AE4" w:rsidRDefault="00A44ED2" w:rsidP="00A44ED2">
            <w:pPr>
              <w:rPr>
                <w:rFonts w:ascii="Arial" w:hAnsi="Arial" w:cs="Arial"/>
                <w:sz w:val="18"/>
                <w:szCs w:val="18"/>
              </w:rPr>
            </w:pPr>
            <w:r w:rsidRPr="00917AE4">
              <w:rPr>
                <w:rFonts w:ascii="Arial" w:hAnsi="Arial" w:cs="Arial"/>
                <w:sz w:val="18"/>
                <w:szCs w:val="18"/>
              </w:rPr>
              <w:t>Integracja z rejestrami publicznymi – REGON (GUS)</w:t>
            </w:r>
          </w:p>
        </w:tc>
      </w:tr>
    </w:tbl>
    <w:p w14:paraId="3068DA8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41944948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25A5322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0CC19A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61004AD2" w14:textId="77777777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3433493" w14:textId="77777777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444E6E3" w14:textId="77777777"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261B588C" w14:textId="77777777" w:rsidTr="00322614">
        <w:tc>
          <w:tcPr>
            <w:tcW w:w="3265" w:type="dxa"/>
            <w:vAlign w:val="center"/>
          </w:tcPr>
          <w:p w14:paraId="5E33E976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89030DC" w14:textId="77777777" w:rsidR="005516B3" w:rsidRDefault="005516B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Przedłużające się postępowanie o udzielenie zamówienia.</w:t>
            </w:r>
          </w:p>
          <w:p w14:paraId="1EAF1C00" w14:textId="77777777" w:rsidR="001C4650" w:rsidRDefault="001C465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ED1E8B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D8AD1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74F63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61671ED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1D51B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DD3967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3F4E2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CA63DF5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0A3A94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1A221B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F485A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B7600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3EB037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F1DFA6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5F1DCC34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2FCC1F" w14:textId="77777777" w:rsidR="005770F9" w:rsidRPr="00D82A25" w:rsidRDefault="000B6CE1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14:paraId="65B683F2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F0CE15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21EB613" w14:textId="77777777" w:rsidR="008478EB" w:rsidRPr="00D82A25" w:rsidRDefault="008478EB" w:rsidP="000B6CE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0F3BC475" w14:textId="77777777" w:rsidR="005770F9" w:rsidRPr="00D82A25" w:rsidRDefault="005770F9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  <w:p w14:paraId="02EC6FE9" w14:textId="77777777" w:rsidR="005770F9" w:rsidRPr="00D82A25" w:rsidRDefault="002D4737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438DE1FC" w14:textId="13876EE8" w:rsidR="003C5CCC" w:rsidRDefault="0010554D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jak najpełniejszego opisu przedmiotu zamówienia uwzgledniającego wszystkie wymagania, przypadki użycia, reguły biznesowe, jasne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czytelne zapisy, wymagania udziału w postępowaniu i kryteria oceny ofert </w:t>
            </w:r>
            <w:proofErr w:type="gramStart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nie zaburzające</w:t>
            </w:r>
            <w:proofErr w:type="gramEnd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konkurencyjności na rynku celem zredukowania ilości pytań do OPZ, obsłużeni</w:t>
            </w:r>
            <w:r w:rsidR="008623A0">
              <w:rPr>
                <w:rFonts w:ascii="Arial" w:hAnsi="Arial" w:cs="Arial"/>
                <w:color w:val="000000" w:themeColor="text1"/>
                <w:sz w:val="18"/>
                <w:szCs w:val="18"/>
              </w:rPr>
              <w:t>e zbyt dużej ilości pytań i nie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jasne zapisy wpływają na konieczność wydłużania terminów składania ofert.</w:t>
            </w:r>
          </w:p>
          <w:p w14:paraId="35235E10" w14:textId="77777777" w:rsidR="00C66F79" w:rsidRDefault="00C66F79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 efekt:</w:t>
            </w:r>
          </w:p>
          <w:p w14:paraId="6D4A91FA" w14:textId="77777777" w:rsidR="00382B9E" w:rsidRDefault="00C66F79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opóźnień w realizacji przetargu.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BEE56D6" w14:textId="77777777" w:rsidR="00C66F79" w:rsidRDefault="00303806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 i zostało zamknięte, czynności zostały wykonane w zakładanym terminie.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445778FB" w14:textId="77777777" w:rsidR="00DE61C7" w:rsidRDefault="00DE61C7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71D0E91" w14:textId="77777777" w:rsidR="00DE61C7" w:rsidRDefault="00DE61C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14:paraId="28DC4A4E" w14:textId="3137073A" w:rsidR="004851FC" w:rsidRPr="00D82A25" w:rsidRDefault="004851F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516B3" w:rsidRPr="002B50C0" w14:paraId="307A9FA2" w14:textId="77777777" w:rsidTr="00322614">
        <w:tc>
          <w:tcPr>
            <w:tcW w:w="3265" w:type="dxa"/>
            <w:vAlign w:val="center"/>
          </w:tcPr>
          <w:p w14:paraId="0220ADE8" w14:textId="77777777" w:rsidR="005516B3" w:rsidRDefault="003C5CC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Organizacyjne. Projekt jest dużym przedsięwzięciem organizacyjnym. Zaangażowanych w jego organizację jest wiele osób, z wielu zespołów.</w:t>
            </w:r>
          </w:p>
          <w:p w14:paraId="3ABC55DA" w14:textId="77777777"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6366B5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0C166C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690257A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02FA7C9C" w14:textId="77777777" w:rsidR="005516B3" w:rsidRPr="009F4AF9" w:rsidRDefault="002D4737" w:rsidP="002D47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E8B247E" w14:textId="77777777" w:rsidR="005516B3" w:rsidRPr="009F4AF9" w:rsidRDefault="003C5CCC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B03DBFB" w14:textId="77777777" w:rsidR="005516B3" w:rsidRDefault="0085404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Zakłada się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że przed rozpoczęciem projektu zostanie ustalona bardzo precyzyjna struktura organizacyjna. Zostanie dodefiniowany model współpracy pomiędzy poszczególnymi jednostkami. Stosowanie dobrych praktyk projektowych.</w:t>
            </w:r>
            <w:r w:rsidR="00090D2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7E1AED5E" w14:textId="77777777" w:rsidR="00C66F79" w:rsidRDefault="00C66F7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6A0DA4D2" w14:textId="77777777" w:rsidR="00382B9E" w:rsidRDefault="00F9693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Podpisanie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orozumienia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artnerstwie, ustalenie struktury projektowej, powołanie zespołu projektowego.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1D2C5991" w14:textId="77777777" w:rsidR="00C66F79" w:rsidRDefault="00382B9E" w:rsidP="005776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stosunku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 poprzedniego okresu sprawozdawcze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>yzyko uległo zmianie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zakresie współpracy Beneficjent UZP/Partner MC projektu dofinansowanego z POPC, zostało podpisane stosowne Porozumienie o Partnerstwie, w którym zostały zawarte prawa i </w:t>
            </w:r>
            <w:r w:rsidR="00B3564D">
              <w:rPr>
                <w:rFonts w:ascii="Arial" w:hAnsi="Arial" w:cs="Arial"/>
                <w:color w:val="000000" w:themeColor="text1"/>
                <w:sz w:val="18"/>
                <w:szCs w:val="18"/>
              </w:rPr>
              <w:t>obowiązki stron oraz zatwierdzo</w:t>
            </w:r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ny DIP, który zawiera stosowne zapisy w tym zakresie. W zakresie dot. szczegółowych warunków współpracy w tym organizacyjnych z </w:t>
            </w:r>
            <w:proofErr w:type="gramStart"/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wykonawcą  platformy</w:t>
            </w:r>
            <w:proofErr w:type="gramEnd"/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e-Zamówienia i Inżynierem Kontraktu został zatwierdzony Plan Komunikacji dla Projektu.</w:t>
            </w:r>
          </w:p>
          <w:p w14:paraId="279921E0" w14:textId="77777777" w:rsidR="00D65FE1" w:rsidRDefault="00D65FE1" w:rsidP="005776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A113066" w14:textId="5C1C368E" w:rsidR="00D65FE1" w:rsidRPr="00090D25" w:rsidRDefault="00D65FE1" w:rsidP="0057769D">
            <w:pPr>
              <w:rPr>
                <w:rFonts w:ascii="Arial" w:hAnsi="Arial" w:cs="Arial"/>
                <w:color w:val="00B05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516B3" w:rsidRPr="002B50C0" w14:paraId="15A4232F" w14:textId="77777777" w:rsidTr="00322614">
        <w:tc>
          <w:tcPr>
            <w:tcW w:w="3265" w:type="dxa"/>
            <w:vAlign w:val="center"/>
          </w:tcPr>
          <w:p w14:paraId="6B4AD6E0" w14:textId="77777777" w:rsidR="005516B3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Fluktuacja zasobów po stronie Beneficjenta i Partnera</w:t>
            </w:r>
            <w:r w:rsidR="003A44E6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1224517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AC1449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372434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18AF6FF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0B325B13" w14:textId="77777777" w:rsidR="005516B3" w:rsidRPr="009F4AF9" w:rsidRDefault="00534722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5DC917D" w14:textId="77777777" w:rsidR="005516B3" w:rsidRPr="00FE2732" w:rsidRDefault="002D4737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9C63AFC" w14:textId="77777777" w:rsidR="005516B3" w:rsidRDefault="000B21D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Zapewnienie warunków organizacyjnych gwarantujących</w:t>
            </w:r>
            <w:r w:rsidR="0083239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iż członkowie zespołu nie będą zmieniać miejsca pracy. Zaplanowanie systemu nagród.</w:t>
            </w:r>
            <w:r w:rsidR="00EF5D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F5DBE" w:rsidRP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Rekrutacja nowych pracowników. </w:t>
            </w:r>
          </w:p>
          <w:p w14:paraId="64D18F77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5679B1BA" w14:textId="6C1E4C49" w:rsidR="007766B1" w:rsidRPr="009F4AF9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Stabilny kadrowo zespół projektowy przez cały okres realizacji projektu.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7D2118" w:rsidRPr="002B50C0" w14:paraId="545BB088" w14:textId="77777777" w:rsidTr="00322614">
        <w:tc>
          <w:tcPr>
            <w:tcW w:w="3265" w:type="dxa"/>
            <w:vAlign w:val="center"/>
          </w:tcPr>
          <w:p w14:paraId="54E68A27" w14:textId="77777777" w:rsidR="007D2118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nieodpowiadających wymaganiom biznesowym określonych w dokumentach projektu i opisie przedmiotu zamówienia w postępowaniu o zamówienie publiczne lub niższy poziom dostarczanych produktów Projektu.</w:t>
            </w:r>
          </w:p>
          <w:p w14:paraId="2B4EF055" w14:textId="77777777"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E66B184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4B4D71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8AD5C48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DBA33D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B627D9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C77F6B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13FEE65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CA9698B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A42AC99" w14:textId="77777777" w:rsidR="007D2118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14:paraId="5AE43EC6" w14:textId="77777777" w:rsidR="007D2118" w:rsidRPr="00FE2732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  <w:r w:rsidR="00641573"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01491FEE" w14:textId="77777777" w:rsidR="007D2118" w:rsidRDefault="004B13F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Dokładne i kompletne sprecyzowanie wymagań w opisie przedmiotu zamówienia. Precyzyjna komunikacja w formie pisemnej z zachowaniem ustaleń zapisanych w umowie, zatwierdzonych notatkach. Precyzyjne formułowanie celów spotkań, warsztatów i innych wspólnych prac oraz przestrzeganie i egzekwowanie ustaleń. Wsparcie Inżyniera Kontraktu w pro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cesie tworzenia oprogramowania w poszczególnych sprintach.</w:t>
            </w:r>
          </w:p>
          <w:p w14:paraId="6D5A9372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48A15869" w14:textId="77777777"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zgodnych z wymaganiami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CA46929" w14:textId="77777777" w:rsidR="006270C3" w:rsidRDefault="006270C3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D78024" w14:textId="68E38CFB"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34722" w:rsidRPr="002B50C0" w14:paraId="73DDA4E7" w14:textId="77777777" w:rsidTr="00322614">
        <w:tc>
          <w:tcPr>
            <w:tcW w:w="3265" w:type="dxa"/>
            <w:vAlign w:val="center"/>
          </w:tcPr>
          <w:p w14:paraId="5C9027DF" w14:textId="77777777" w:rsidR="00534722" w:rsidRPr="009F4AF9" w:rsidRDefault="003A44E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awarii spowodowane błędami dostawców (np. błędy aplikacyjne i bazodanowe)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697" w:type="dxa"/>
          </w:tcPr>
          <w:p w14:paraId="21568761" w14:textId="77777777" w:rsidR="00534722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F946743" w14:textId="77777777" w:rsidR="00534722" w:rsidRPr="009F4AF9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  <w:p w14:paraId="4B4A32B5" w14:textId="77777777" w:rsidR="00641573" w:rsidRPr="009F4AF9" w:rsidRDefault="00641573" w:rsidP="00641573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2410" w:type="dxa"/>
          </w:tcPr>
          <w:p w14:paraId="78881A86" w14:textId="77777777" w:rsidR="00534722" w:rsidRDefault="008044A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Wdrożenie odpowiednich procedur dotyczących testów akceptacyjnych oraz wymóg testowania zmian na środowisku testowym przed wprowadzeniem na produkcję. Wprowadzenie procedur odtworzenia systemu oraz systematycznego tworzenia kopii zapasowych. Regularne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kontrole jakości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 Zaplanowanie testów bezpieczeństwa prowadzonych przez zewnętrzny podmiot - Audytor bezpieczeństwa.</w:t>
            </w:r>
          </w:p>
          <w:p w14:paraId="186E7F8B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32F5BDB2" w14:textId="77777777"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systemu spełniającego wymagania jakościowe zgodnie z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21FAA85" w14:textId="79694EB6"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34722" w:rsidRPr="002B50C0" w14:paraId="2739472F" w14:textId="77777777" w:rsidTr="00322614">
        <w:tc>
          <w:tcPr>
            <w:tcW w:w="3265" w:type="dxa"/>
            <w:vAlign w:val="center"/>
          </w:tcPr>
          <w:p w14:paraId="190C2409" w14:textId="77777777" w:rsidR="00534722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produkcyjnego uruchomienia systemu w terminie wyznaczonego kamienia milowego</w:t>
            </w:r>
            <w:r w:rsidR="008478EB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01CF3953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5D6E6A5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05AF1FB" w14:textId="77777777" w:rsidR="00534722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14:paraId="5C01F0D5" w14:textId="77777777" w:rsidR="00534722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5180F0FC" w14:textId="77777777" w:rsidR="00534722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Ścisłe monitorowanie harmonogramu i ryzyka opóźnienia oraz związanie projektu informatycznego z działaniami prawnymi.</w:t>
            </w:r>
          </w:p>
          <w:p w14:paraId="5AA9CE5C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30B233D4" w14:textId="77777777"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Uruchomienie produkcyjne w terminie.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3F5E7EF5" w14:textId="6D10985E"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3A44E6" w:rsidRPr="002B50C0" w14:paraId="100D6143" w14:textId="77777777" w:rsidTr="00322614">
        <w:tc>
          <w:tcPr>
            <w:tcW w:w="3265" w:type="dxa"/>
            <w:vAlign w:val="center"/>
          </w:tcPr>
          <w:p w14:paraId="5B6CA92B" w14:textId="77777777" w:rsidR="003A44E6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złożonych ofert w postępowaniu na budowę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wdrożenie Platformy oraz na Inżyniera K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ontraktu (cz. 1 i cz.2) mogą przewyższać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przeznaczone na realizację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tych zadań.</w:t>
            </w:r>
          </w:p>
          <w:p w14:paraId="72A2C151" w14:textId="77777777"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8DF337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5C548F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C8E3B6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7898CF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2F1186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41DDE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7EA4FB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3001E6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69A4A5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82333B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984B9B7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3D59C7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4DF514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63EBDE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092DD4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B2FD3B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4DADC9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B4C8550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11A3116D" w14:textId="77777777" w:rsidR="003A44E6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14:paraId="37E04163" w14:textId="77777777" w:rsidR="003A44E6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139550C" w14:textId="77777777" w:rsidR="007766B1" w:rsidRDefault="00F13542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rzetelnej oceny otrzymanych ofert w zakresie </w:t>
            </w:r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zweryfikowania, </w:t>
            </w:r>
            <w:proofErr w:type="gramStart"/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czy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w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ramach ofert przewyższających zaplanowany budżet mamy do czynienie z najkorzystniejszą ofertą mieszczącą się w budżecie 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7F807E47" w14:textId="77777777" w:rsidR="00F9693F" w:rsidRDefault="00F13542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wariant I wybrać ofertę najkorzystniejszą, która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będzie mieściła się w budżecie;</w:t>
            </w:r>
          </w:p>
          <w:p w14:paraId="7F797096" w14:textId="77777777" w:rsidR="00F9693F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wariant II uruchomić w miarę możliwości mechanizmy pozyskania dodatkowych środków (UE lub środki krajowe, zależy </w:t>
            </w:r>
            <w:proofErr w:type="gramStart"/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to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mowa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 części finansowanej ze środków projektowych czy budżetu krajowe); </w:t>
            </w:r>
          </w:p>
          <w:p w14:paraId="70E12200" w14:textId="68436D25" w:rsidR="003A44E6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wariant III unieważnić postępowanie w danej części i powtórzyć postępowanie.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wystąpiło, zrealizowano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działania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wariant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II 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dokonano wyboru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najkorzystniejszej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oferty. </w:t>
            </w:r>
          </w:p>
          <w:p w14:paraId="05EB2B10" w14:textId="77777777" w:rsidR="00DE61C7" w:rsidRDefault="00DE61C7" w:rsidP="008323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DBF0253" w14:textId="481D78F1" w:rsidR="00192CE1" w:rsidRDefault="00192CE1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14:paraId="07E24F6B" w14:textId="77777777" w:rsidR="007766B1" w:rsidRPr="009F4AF9" w:rsidRDefault="007766B1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14:paraId="1543B662" w14:textId="77777777" w:rsidTr="00322614">
        <w:tc>
          <w:tcPr>
            <w:tcW w:w="3265" w:type="dxa"/>
            <w:vAlign w:val="center"/>
          </w:tcPr>
          <w:p w14:paraId="6C591351" w14:textId="77777777"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Przedłużające się czynności dot. wyboru najkorzystniejszej oferty i zawarcia umowy z wybranym wykonawcą w ramach najkorzystniejszej oferty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  postępowaniu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 udzielenie zamówienia publicznego.</w:t>
            </w:r>
          </w:p>
          <w:p w14:paraId="3046EB4F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BBE0A4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9DBBDC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23CADE2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CE76B1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504A08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8F6450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10821E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009C11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142245E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179F1DB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E4031E1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FC65DFA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8102679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EA0C3F3" w14:textId="77777777"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88A32DE" w14:textId="77777777"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8CE5692" w14:textId="77777777"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EDC1CD8" w14:textId="77777777"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D4B6355" w14:textId="3A231520" w:rsidR="00177F35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Reakcja i realizacja wszelkich możliwych czynności w ramach dość krótkich terminów, wraz z możliwym ich skracaniem. Ponadto realizacja czynności w taki sposób, aby nie dawały szans na bezpodstawne wnoszenie </w:t>
            </w:r>
            <w:proofErr w:type="spell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odwołań</w:t>
            </w:r>
            <w:proofErr w:type="spell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KIO na czynności Zamawiającego. Prowadzenie całego procesu wyboru najkorzystniejszej oferty w jak najbardziej transparenty sposób, aby żadna ze stron nie mogła zarzucić w tym zakresie Zamawiającemu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wykonywania swoich obowiązków należycie w stosunku do nich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jak i </w:t>
            </w:r>
            <w:r w:rsidR="00FE273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 samej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czynności wyboru najkorzystniejszej oferty.</w:t>
            </w:r>
          </w:p>
          <w:p w14:paraId="002E9E0E" w14:textId="77777777"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1FCA2F12" w14:textId="77777777" w:rsidR="00192CE1" w:rsidRDefault="007766B1" w:rsidP="006E09F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Wybór najkorzystniejszej oferty.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1B3E2342" w14:textId="6526BB80" w:rsidR="007766B1" w:rsidRDefault="00303806" w:rsidP="006E09F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wystąpiło, Zamawiający wykonywał swoje czynności w określonym </w:t>
            </w:r>
            <w:r w:rsidR="00C024C2">
              <w:rPr>
                <w:rFonts w:ascii="Arial" w:hAnsi="Arial" w:cs="Arial"/>
                <w:color w:val="000000" w:themeColor="text1"/>
                <w:sz w:val="18"/>
                <w:szCs w:val="18"/>
              </w:rPr>
              <w:t>czasowym, bez zbędnej zwłoki, co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pozwoliło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wybór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wykonawcy i zawarcie umowy.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19F41503" w14:textId="77777777" w:rsidR="006C2B22" w:rsidRDefault="006C2B22" w:rsidP="006E09F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34BFC8" w14:textId="2DB59742" w:rsidR="00192CE1" w:rsidRDefault="00192C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zamknięte </w:t>
            </w:r>
          </w:p>
          <w:p w14:paraId="17724166" w14:textId="27BA1E9A" w:rsidR="006C2B22" w:rsidRPr="009F4AF9" w:rsidRDefault="006C2B2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14:paraId="4739AB88" w14:textId="77777777" w:rsidTr="00322614">
        <w:tc>
          <w:tcPr>
            <w:tcW w:w="3265" w:type="dxa"/>
            <w:vAlign w:val="center"/>
          </w:tcPr>
          <w:p w14:paraId="61B884A7" w14:textId="77777777"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realizacji zapisów Porozumienia o Partnerstwie przez Partnera Projektu.</w:t>
            </w:r>
          </w:p>
          <w:p w14:paraId="7EC5EFC2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A8BE9E1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980EB7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879623D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3BA9D3E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92F409E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4CED939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E7021CC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ECD4A86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4B0F875" w14:textId="77777777"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4386B0F" w14:textId="77777777" w:rsidR="0039474B" w:rsidRPr="009F4AF9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736FEE05" w14:textId="77777777"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14:paraId="280B3246" w14:textId="77777777"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C024C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0947607" w14:textId="77777777" w:rsidR="00177F35" w:rsidRDefault="00F13542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Przedstawianie informacji w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cyklu co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miesięcznego raportu z realizacji prac w zakresie wsparcia Lidera Partnerstwa, w tym przez Zespół ekspertów, którzy świadczą wsparcie w wymiarze godzinowym w skali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miesiąca. Eskalowanie na bieżąco na poziom strategiczny projektu (KS) 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pojawiające się problemy w tym zakresie. </w:t>
            </w:r>
          </w:p>
          <w:p w14:paraId="6A80D923" w14:textId="77777777" w:rsidR="007766B1" w:rsidRDefault="007766B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14:paraId="1FD6BA4B" w14:textId="77777777" w:rsidR="00192CE1" w:rsidRDefault="0016589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Efektywna współpraca partnerska.</w:t>
            </w:r>
            <w:r w:rsidR="00044BF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67D27596" w14:textId="77777777" w:rsidR="007766B1" w:rsidRDefault="00044BF2" w:rsidP="00CF30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  <w:p w14:paraId="6A882D39" w14:textId="77777777" w:rsidR="006C2B22" w:rsidRDefault="006C2B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4A4A499" w14:textId="2A78936C" w:rsidR="00192CE1" w:rsidRDefault="00192C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14:paraId="6C16F173" w14:textId="093B57D1" w:rsidR="006C2B22" w:rsidRPr="009F4AF9" w:rsidRDefault="006C2B2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C54A6" w:rsidRPr="002B50C0" w14:paraId="534DFAD3" w14:textId="77777777" w:rsidTr="00322614">
        <w:tc>
          <w:tcPr>
            <w:tcW w:w="3265" w:type="dxa"/>
            <w:vAlign w:val="center"/>
          </w:tcPr>
          <w:p w14:paraId="301116BC" w14:textId="677ADE13" w:rsidR="00EC54A6" w:rsidRPr="00EC54A6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Możliwość wystąpienia opóźnień w bieżącej pracy projektowej ze względu na brak kontaktu bezpośredniego i realizacji wszystkich prac w trybie pracy zdalnej z ograniczonym dost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ępem lub niepełnym dostępem osobowym, bezpośrednio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zasygnalizowane przez Wykonawcę Platformy ze wzg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lędu ogłoszony stan epidemiczny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związany z COVID-19.</w:t>
            </w:r>
          </w:p>
          <w:p w14:paraId="46B67EB9" w14:textId="77777777" w:rsidR="00EC54A6" w:rsidRPr="009F4AF9" w:rsidRDefault="00EC54A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2284DF4" w14:textId="59FE165E" w:rsidR="00EC54A6" w:rsidRPr="009F4AF9" w:rsidRDefault="00EC54A6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3F43862C" w14:textId="1F075C37" w:rsidR="00EC54A6" w:rsidRPr="00C024C2" w:rsidRDefault="00EC54A6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410" w:type="dxa"/>
          </w:tcPr>
          <w:p w14:paraId="6E5443BA" w14:textId="77777777" w:rsidR="00EC54A6" w:rsidRDefault="00EC54A6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Planowanie prac, w tym zaangażowania poszczególnych osób niezbędnych w danym zakresie do prawidłowej bieżącej realizacji prac projektowych z możliwym wyprzedzeniem. </w:t>
            </w:r>
          </w:p>
          <w:p w14:paraId="7B8057CC" w14:textId="3C39F1A9" w:rsidR="00192CE1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>Planowanie potencjalnych możliwości zastępowalności na wypadek braku w danym momencie osoby odpowiedzialnej za dany obszar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Prowadzenie 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polityki pełnej komunikacji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zakresie aktualnie wykonywanych prac w tym ich zakresie do całego zespołu projektowego.</w:t>
            </w:r>
          </w:p>
          <w:p w14:paraId="3F5AF7DC" w14:textId="77777777" w:rsidR="00C2469D" w:rsidRDefault="00C2469D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F8ACF9" w14:textId="5A494DD0" w:rsidR="004B385E" w:rsidRDefault="004B385E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Spodziewane efekty: </w:t>
            </w:r>
            <w:r w:rsidR="0057769D" w:rsidRPr="004B385E">
              <w:rPr>
                <w:rFonts w:ascii="Arial" w:hAnsi="Arial" w:cs="Arial"/>
                <w:sz w:val="18"/>
                <w:szCs w:val="18"/>
              </w:rPr>
              <w:t>Realizacja prac bieżących zgodnie z przyjętym harmonogramem projektu</w:t>
            </w:r>
            <w:r w:rsidR="00B3564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D0187F" w14:textId="77777777" w:rsidR="00C2469D" w:rsidRDefault="00C2469D" w:rsidP="00EC5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C7F1B7B" w14:textId="3EC51C01" w:rsidR="00EC54A6" w:rsidRPr="009F4AF9" w:rsidRDefault="00772614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92CE1" w:rsidRPr="002B50C0" w14:paraId="30547A2D" w14:textId="77777777" w:rsidTr="00322614">
        <w:tc>
          <w:tcPr>
            <w:tcW w:w="3265" w:type="dxa"/>
            <w:vAlign w:val="center"/>
          </w:tcPr>
          <w:p w14:paraId="1419930A" w14:textId="4C780DD8" w:rsidR="00192CE1" w:rsidRPr="00EC54A6" w:rsidRDefault="00192CE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Możliwość wystąpienia opóźnień w realizacji zadań Etapu II i III.1 </w:t>
            </w:r>
            <w:proofErr w:type="gram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ze</w:t>
            </w:r>
            <w:proofErr w:type="gram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względu na niezgodną z oczekiwaniami wydajność zespołu realizacyjnego Wykonawcy - ograniczoną pracą zdalną, która jest wymuszona przez ogłoszony stan epidemiczny związany z COVID-19</w:t>
            </w:r>
          </w:p>
        </w:tc>
        <w:tc>
          <w:tcPr>
            <w:tcW w:w="1697" w:type="dxa"/>
          </w:tcPr>
          <w:p w14:paraId="342A99F6" w14:textId="6CB44381" w:rsidR="00192CE1" w:rsidRDefault="00192CE1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61614D1B" w14:textId="6D0A38A6" w:rsidR="00192CE1" w:rsidRDefault="00192CE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49B15DA1" w14:textId="77777777" w:rsidR="00192CE1" w:rsidRPr="00192CE1" w:rsidRDefault="00192CE1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wewnętrzne 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: zwiększenie wielkości zespołu, wzmocnienie obsady kluczowych kompetencji, kluczowe spotkania projektowe (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planning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, retrospektywa) odbywają się w trybie stacjonarnego spotkania zespołu w siedzibie firmy</w:t>
            </w:r>
          </w:p>
          <w:p w14:paraId="780849DC" w14:textId="718F4423" w:rsidR="00192CE1" w:rsidRDefault="00192CE1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wspólne 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/UZP: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analiza możliwości optymalizacji zakresu planowanego do implementacji w najbliższym okresie - identyfikacja wymagań możliwych do przesunięcia na dalsze etapy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B9564C1" w14:textId="77777777" w:rsidR="00E21860" w:rsidRDefault="004B385E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Spodziewany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efekt: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Realizacja</w:t>
            </w:r>
            <w:proofErr w:type="gramEnd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zadań Etapu II i III. 1 </w:t>
            </w:r>
            <w:proofErr w:type="gramStart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>zgodnie</w:t>
            </w:r>
            <w:proofErr w:type="gramEnd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 określonym harmonogramem projektu i działaniami optymalizacyjnymi.</w:t>
            </w:r>
          </w:p>
          <w:p w14:paraId="2035F671" w14:textId="2D03B72D" w:rsidR="004B385E" w:rsidRDefault="00E21860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stosunku do poprzedniego okresu sprawozdawczego ryzyko uległo zmianie. Dokonano optymalizacji zakresu prac dla Etapu II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ramach, którego implementacja części prac niewpływających na prawidłowe funkcjonowanie zakresu Etapu II została stosownie przesunięta na kolejne Etapy projektu.</w:t>
            </w:r>
          </w:p>
          <w:p w14:paraId="0297039B" w14:textId="05E088FD" w:rsidR="00C2469D" w:rsidRDefault="00C2469D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5EABC7B" w14:textId="70867A3F" w:rsidR="00C2469D" w:rsidRDefault="00C2469D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stosunku do poprzedniego okresu sprawozdawczego ryzyko uległo zmianie. Dokonano optymalizacji zakresu prac dla Etapu III w ramach, którego implementacja części prac niewpływających na prawidłowe funkcjonowanie zakresu Etapu III została stosownie przesunięta na kolejne Etapy projektu.</w:t>
            </w:r>
          </w:p>
          <w:p w14:paraId="720CBDC4" w14:textId="3517EED0" w:rsidR="00C2469D" w:rsidRDefault="00C2469D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Aneksowano w tym zakresie umowę z Wykonawcą</w:t>
            </w:r>
            <w:r w:rsidR="002D52B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zakresie zakresu prac do wykonania na tym etapie prac.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11F40012" w14:textId="3DE9DEE4" w:rsidR="00C2469D" w:rsidRDefault="00C2469D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CD7DD5F" w14:textId="1D0A842B" w:rsidR="00192CE1" w:rsidRPr="00EC54A6" w:rsidRDefault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942FB" w:rsidRPr="002B50C0" w14:paraId="602A4DAF" w14:textId="77777777" w:rsidTr="00322614">
        <w:tc>
          <w:tcPr>
            <w:tcW w:w="3265" w:type="dxa"/>
            <w:vAlign w:val="center"/>
          </w:tcPr>
          <w:p w14:paraId="02BC7E53" w14:textId="0E778143" w:rsidR="00E942FB" w:rsidRPr="00192CE1" w:rsidRDefault="00E942FB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942F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Potencjalne wydłużenia okresu procedury odbiorowej i tym samym terminu odbioru Etapu II</w:t>
            </w:r>
          </w:p>
        </w:tc>
        <w:tc>
          <w:tcPr>
            <w:tcW w:w="1697" w:type="dxa"/>
          </w:tcPr>
          <w:p w14:paraId="1446F026" w14:textId="4D5A836C" w:rsidR="00E942FB" w:rsidRDefault="0033534D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077ABEA" w14:textId="31FD28FA" w:rsidR="00E942FB" w:rsidRDefault="0033534D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5D489A5A" w14:textId="3AA1B63C" w:rsidR="0033534D" w:rsidRDefault="0033534D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Sztywne trzymanie się terminów na potrzeby weryfikacji produktów typu dokumentacja w ramach określonych iteracji. Weryfikacja produktu typu oprogramowanie w trybie ciągłym w zakresie testów akceptacyjnych tj.: testowanie funkcjonalności, zgłaszanie błędów przez testerów w JIRA do Wykonawcy w celu niezwłocznego podjęcia działań naprawczych przez Wykonawcę, </w:t>
            </w:r>
            <w:r w:rsidR="00E21860"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>tak, aby</w:t>
            </w:r>
            <w:r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zrealizować zakres testów funkcjonalnych w pożądanym terminie z równoczesnym przeprowadzaniem na potwierdzenie prawidłowości działania testów regresji całości rozwiązania.</w:t>
            </w:r>
          </w:p>
          <w:p w14:paraId="6E8B9713" w14:textId="77777777" w:rsidR="00FD1501" w:rsidRDefault="00FD1501" w:rsidP="0033534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A0AECC7" w14:textId="074B27DC" w:rsidR="00E942FB" w:rsidRPr="00192CE1" w:rsidRDefault="006270C3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W stosunku do poprzedniego okresu sprawozdawczego ryzyko uległo zmianie. Prace przewidziane w ramach Etapu II zostały zakończone. Zostały udostępnione funkcjonalności.</w:t>
            </w:r>
          </w:p>
        </w:tc>
      </w:tr>
    </w:tbl>
    <w:p w14:paraId="0A7669D5" w14:textId="77777777" w:rsidR="00B47BCA" w:rsidRDefault="00B47BC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C6D9A8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59878CD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98F499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EC6116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B5531C0" w14:textId="77777777" w:rsidR="0091332C" w:rsidRPr="00FE2732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732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628BC3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7B7CF13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5F3CD1" w14:textId="77777777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Wprowadzenie dużych zmian legislacyjnych w obszarze zamówień publicznych</w:t>
            </w:r>
          </w:p>
        </w:tc>
        <w:tc>
          <w:tcPr>
            <w:tcW w:w="1701" w:type="dxa"/>
            <w:shd w:val="clear" w:color="auto" w:fill="FFFFFF"/>
          </w:tcPr>
          <w:p w14:paraId="61AD10F0" w14:textId="77777777" w:rsidR="001172C8" w:rsidRPr="00727FEF" w:rsidRDefault="00C00678" w:rsidP="0081207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14:paraId="476FC07F" w14:textId="77777777" w:rsidR="008478EB" w:rsidRPr="00727FEF" w:rsidRDefault="008478EB" w:rsidP="00812076">
            <w:pPr>
              <w:rPr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2538A4E6" w14:textId="77777777" w:rsidR="001172C8" w:rsidRPr="00FE2732" w:rsidRDefault="00C00678" w:rsidP="00812076">
            <w:pPr>
              <w:rPr>
                <w:b/>
                <w:bCs/>
                <w:color w:val="000000" w:themeColor="text1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91AE074" w14:textId="77777777" w:rsidR="00F9693F" w:rsidRDefault="00832390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P</w:t>
            </w:r>
            <w:r w:rsidR="00034776"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rzygotowanie systemu w sposób modularny SOA umożliwiający dynamiczną reakcje na otoczenie prawne</w:t>
            </w: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14:paraId="67216DE6" w14:textId="622C9E3A" w:rsidR="00165891" w:rsidRDefault="00165891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dynamiczne i bieżące dostosowanie systemu do bieżącego stanu prawnego.</w:t>
            </w:r>
          </w:p>
          <w:p w14:paraId="0881ED65" w14:textId="12D52CCF" w:rsidR="00165891" w:rsidRPr="00727FEF" w:rsidRDefault="00044BF2" w:rsidP="0081207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14:paraId="2C5C0F3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33DB2CE" w14:textId="77777777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Utrata zaufania do systemu w wyniku cyberataków, awarii systemu</w:t>
            </w:r>
          </w:p>
        </w:tc>
        <w:tc>
          <w:tcPr>
            <w:tcW w:w="1701" w:type="dxa"/>
            <w:shd w:val="clear" w:color="auto" w:fill="FFFFFF"/>
          </w:tcPr>
          <w:p w14:paraId="71013FC1" w14:textId="77777777" w:rsidR="001172C8" w:rsidRPr="00727FEF" w:rsidRDefault="00C0067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7F7D4C9" w14:textId="77777777" w:rsidR="001172C8" w:rsidRPr="00FE2732" w:rsidRDefault="0060763A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9AB15BC" w14:textId="77777777" w:rsidR="00F9693F" w:rsidRDefault="00034776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Prowadzenie regularnych audytów bezpieczeństwa, monitoring systemu wraz z procedurami reagowania.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136DAAA9" w14:textId="77777777"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system posiadający odpowiednie zabezpieczenia.</w:t>
            </w:r>
          </w:p>
          <w:p w14:paraId="7138D54E" w14:textId="73230FCA" w:rsidR="001172C8" w:rsidRPr="00044BF2" w:rsidRDefault="00044BF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14:paraId="2F0422F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2C090D0" w14:textId="77777777" w:rsidR="001172C8" w:rsidRPr="00727FEF" w:rsidRDefault="001172C8" w:rsidP="006E3B3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14:paraId="1080619E" w14:textId="77777777" w:rsidR="001172C8" w:rsidRPr="00727FEF" w:rsidRDefault="00C0067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82DAD03" w14:textId="77777777" w:rsidR="001172C8" w:rsidRPr="00FE2732" w:rsidRDefault="0060763A" w:rsidP="0064157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B5311EB" w14:textId="77777777" w:rsidR="00F9693F" w:rsidRDefault="00ED1365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Analiza kosztów utrzymania systemu i zabezpieczenie odpowiednich środków w budżecie Beneficjenta</w:t>
            </w:r>
            <w:r w:rsidR="00034776"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14:paraId="3CE36FAA" w14:textId="77777777"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otrzymanie odpowiednich środków finansowych na utrzymanie sytemu po jego wdrożeniu.</w:t>
            </w:r>
          </w:p>
          <w:p w14:paraId="7C3F9A01" w14:textId="7203DE48" w:rsidR="001172C8" w:rsidRPr="00044BF2" w:rsidRDefault="00044BF2" w:rsidP="00ED13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</w:tbl>
    <w:p w14:paraId="4CBED285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9F2244" w14:textId="77777777" w:rsidR="00805178" w:rsidRPr="009F4AF9" w:rsidRDefault="00A548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F4AF9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Nie dotyczy </w:t>
      </w:r>
    </w:p>
    <w:p w14:paraId="26F25E66" w14:textId="77777777" w:rsidR="009F4AF9" w:rsidRPr="009F4AF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="00A54820">
        <w:rPr>
          <w:rFonts w:ascii="Arial" w:hAnsi="Arial" w:cs="Arial"/>
          <w:color w:val="0070C0"/>
          <w:sz w:val="18"/>
          <w:szCs w:val="18"/>
        </w:rPr>
        <w:t xml:space="preserve">   </w:t>
      </w:r>
    </w:p>
    <w:p w14:paraId="3B1C44C6" w14:textId="77777777" w:rsidR="009F4AF9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4AF9">
        <w:rPr>
          <w:rFonts w:ascii="Arial" w:hAnsi="Arial" w:cs="Arial"/>
          <w:color w:val="000000" w:themeColor="text1"/>
          <w:sz w:val="18"/>
          <w:szCs w:val="18"/>
        </w:rPr>
        <w:t xml:space="preserve">Piotr Biłas </w:t>
      </w:r>
    </w:p>
    <w:p w14:paraId="468731FA" w14:textId="77777777" w:rsidR="009F4AF9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Radca generalny - </w:t>
      </w:r>
      <w:r w:rsidR="009F4AF9">
        <w:rPr>
          <w:rFonts w:ascii="Arial" w:hAnsi="Arial" w:cs="Arial"/>
          <w:color w:val="000000" w:themeColor="text1"/>
          <w:sz w:val="18"/>
          <w:szCs w:val="18"/>
        </w:rPr>
        <w:t>Kierownik Projektu e-Zamówienia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4B9519B0" w14:textId="77777777"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Biuro Organizacyjno-Finansowe</w:t>
      </w:r>
    </w:p>
    <w:p w14:paraId="320754EC" w14:textId="77777777" w:rsidR="00B47BCA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Urząd Zamówień Publicznych</w:t>
      </w:r>
    </w:p>
    <w:p w14:paraId="5E51AF5C" w14:textId="77777777"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gramStart"/>
      <w:r>
        <w:rPr>
          <w:rFonts w:ascii="Arial" w:hAnsi="Arial" w:cs="Arial"/>
          <w:color w:val="000000" w:themeColor="text1"/>
          <w:sz w:val="18"/>
          <w:szCs w:val="18"/>
        </w:rPr>
        <w:t>e-mail</w:t>
      </w:r>
      <w:proofErr w:type="gramEnd"/>
      <w:r>
        <w:rPr>
          <w:rFonts w:ascii="Arial" w:hAnsi="Arial" w:cs="Arial"/>
          <w:color w:val="000000" w:themeColor="text1"/>
          <w:sz w:val="18"/>
          <w:szCs w:val="18"/>
        </w:rPr>
        <w:t>: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8" w:history="1">
        <w:r w:rsidR="00A54820" w:rsidRPr="009F4AF9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piotr.bilas@uzp.gov.pl</w:t>
        </w:r>
      </w:hyperlink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EC13D27" w14:textId="77777777" w:rsidR="00BB059E" w:rsidRPr="00A92887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proofErr w:type="gramStart"/>
      <w:r w:rsidRPr="009F4AF9">
        <w:rPr>
          <w:rFonts w:ascii="Arial" w:hAnsi="Arial" w:cs="Arial"/>
          <w:color w:val="000000" w:themeColor="text1"/>
          <w:sz w:val="18"/>
          <w:szCs w:val="18"/>
        </w:rPr>
        <w:t>tel</w:t>
      </w:r>
      <w:proofErr w:type="gramEnd"/>
      <w:r w:rsidR="009F4AF9">
        <w:rPr>
          <w:rFonts w:ascii="Arial" w:hAnsi="Arial" w:cs="Arial"/>
          <w:color w:val="000000" w:themeColor="text1"/>
          <w:sz w:val="18"/>
          <w:szCs w:val="18"/>
        </w:rPr>
        <w:t>.</w:t>
      </w:r>
      <w:r w:rsidRPr="009F4AF9">
        <w:rPr>
          <w:rFonts w:ascii="Arial" w:hAnsi="Arial" w:cs="Arial"/>
          <w:color w:val="000000" w:themeColor="text1"/>
          <w:sz w:val="18"/>
          <w:szCs w:val="18"/>
        </w:rPr>
        <w:t>: 882 350 897</w:t>
      </w:r>
    </w:p>
    <w:p w14:paraId="5653EE1D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CE2AC9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4F03354E" w14:textId="7777777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22719" w14:textId="77777777" w:rsidR="00564B72" w:rsidRDefault="00564B72" w:rsidP="00BB2420">
      <w:pPr>
        <w:spacing w:after="0" w:line="240" w:lineRule="auto"/>
      </w:pPr>
      <w:r>
        <w:separator/>
      </w:r>
    </w:p>
  </w:endnote>
  <w:endnote w:type="continuationSeparator" w:id="0">
    <w:p w14:paraId="31F86F34" w14:textId="77777777" w:rsidR="00564B72" w:rsidRDefault="00564B7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FFC9C8" w14:textId="0C6725DB" w:rsidR="002B6F21" w:rsidRPr="00917AE4" w:rsidRDefault="002B6F21" w:rsidP="00917AE4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07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17AE4">
              <w:rPr>
                <w:b/>
                <w:bCs/>
                <w:noProof/>
              </w:rPr>
              <w:t>12</w:t>
            </w:r>
          </w:p>
        </w:sdtContent>
      </w:sdt>
    </w:sdtContent>
  </w:sdt>
  <w:p w14:paraId="58ED01C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90D3F" w14:textId="77777777" w:rsidR="00564B72" w:rsidRDefault="00564B72" w:rsidP="00BB2420">
      <w:pPr>
        <w:spacing w:after="0" w:line="240" w:lineRule="auto"/>
      </w:pPr>
      <w:r>
        <w:separator/>
      </w:r>
    </w:p>
  </w:footnote>
  <w:footnote w:type="continuationSeparator" w:id="0">
    <w:p w14:paraId="7D170133" w14:textId="77777777" w:rsidR="00564B72" w:rsidRDefault="00564B72" w:rsidP="00BB2420">
      <w:pPr>
        <w:spacing w:after="0" w:line="240" w:lineRule="auto"/>
      </w:pPr>
      <w:r>
        <w:continuationSeparator/>
      </w:r>
    </w:p>
  </w:footnote>
  <w:footnote w:id="1">
    <w:p w14:paraId="5F3CC554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C777B"/>
    <w:multiLevelType w:val="hybridMultilevel"/>
    <w:tmpl w:val="BA5E1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C7630A"/>
    <w:multiLevelType w:val="hybridMultilevel"/>
    <w:tmpl w:val="85D6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0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0C5"/>
    <w:rsid w:val="00003CB0"/>
    <w:rsid w:val="00006E59"/>
    <w:rsid w:val="00007276"/>
    <w:rsid w:val="00020C6C"/>
    <w:rsid w:val="00023D3C"/>
    <w:rsid w:val="00034776"/>
    <w:rsid w:val="000411D2"/>
    <w:rsid w:val="00043DD9"/>
    <w:rsid w:val="00044BF2"/>
    <w:rsid w:val="00044D68"/>
    <w:rsid w:val="00047D9D"/>
    <w:rsid w:val="000504F6"/>
    <w:rsid w:val="00052988"/>
    <w:rsid w:val="00053AA6"/>
    <w:rsid w:val="0006403E"/>
    <w:rsid w:val="00070663"/>
    <w:rsid w:val="000707F8"/>
    <w:rsid w:val="00071880"/>
    <w:rsid w:val="000718C4"/>
    <w:rsid w:val="000837F2"/>
    <w:rsid w:val="00084E5B"/>
    <w:rsid w:val="00087231"/>
    <w:rsid w:val="00090D25"/>
    <w:rsid w:val="00095944"/>
    <w:rsid w:val="000A1DFB"/>
    <w:rsid w:val="000A2F32"/>
    <w:rsid w:val="000A3938"/>
    <w:rsid w:val="000A44E8"/>
    <w:rsid w:val="000B21DB"/>
    <w:rsid w:val="000B3E49"/>
    <w:rsid w:val="000B6CE1"/>
    <w:rsid w:val="000C608A"/>
    <w:rsid w:val="000D2C4A"/>
    <w:rsid w:val="000E0060"/>
    <w:rsid w:val="000E1828"/>
    <w:rsid w:val="000E4BF8"/>
    <w:rsid w:val="000F20A9"/>
    <w:rsid w:val="000F307B"/>
    <w:rsid w:val="000F30B9"/>
    <w:rsid w:val="000F5260"/>
    <w:rsid w:val="0010554D"/>
    <w:rsid w:val="00111A8F"/>
    <w:rsid w:val="001168BA"/>
    <w:rsid w:val="0011693F"/>
    <w:rsid w:val="001172C8"/>
    <w:rsid w:val="00122388"/>
    <w:rsid w:val="00124C3D"/>
    <w:rsid w:val="00125B87"/>
    <w:rsid w:val="001347AC"/>
    <w:rsid w:val="00141A92"/>
    <w:rsid w:val="0014582D"/>
    <w:rsid w:val="00145E84"/>
    <w:rsid w:val="0015102C"/>
    <w:rsid w:val="00153381"/>
    <w:rsid w:val="00165891"/>
    <w:rsid w:val="00167619"/>
    <w:rsid w:val="00176FBB"/>
    <w:rsid w:val="00177F35"/>
    <w:rsid w:val="001804A5"/>
    <w:rsid w:val="00181E97"/>
    <w:rsid w:val="00182A08"/>
    <w:rsid w:val="001842E0"/>
    <w:rsid w:val="00192CE1"/>
    <w:rsid w:val="0019537E"/>
    <w:rsid w:val="001A2EF2"/>
    <w:rsid w:val="001C2D74"/>
    <w:rsid w:val="001C4650"/>
    <w:rsid w:val="001C7FAC"/>
    <w:rsid w:val="001E0CAC"/>
    <w:rsid w:val="001E16A3"/>
    <w:rsid w:val="001E1A2E"/>
    <w:rsid w:val="001E1DEA"/>
    <w:rsid w:val="001E654F"/>
    <w:rsid w:val="001E7199"/>
    <w:rsid w:val="001E7797"/>
    <w:rsid w:val="001E7E89"/>
    <w:rsid w:val="001F24A0"/>
    <w:rsid w:val="001F44DC"/>
    <w:rsid w:val="001F67EC"/>
    <w:rsid w:val="00201800"/>
    <w:rsid w:val="0020330A"/>
    <w:rsid w:val="00203A96"/>
    <w:rsid w:val="00205B2A"/>
    <w:rsid w:val="00237279"/>
    <w:rsid w:val="00240D69"/>
    <w:rsid w:val="00241B5E"/>
    <w:rsid w:val="00252087"/>
    <w:rsid w:val="00263392"/>
    <w:rsid w:val="00265194"/>
    <w:rsid w:val="0027545B"/>
    <w:rsid w:val="00276C00"/>
    <w:rsid w:val="00293351"/>
    <w:rsid w:val="00294349"/>
    <w:rsid w:val="002A3C02"/>
    <w:rsid w:val="002A5452"/>
    <w:rsid w:val="002B2EE6"/>
    <w:rsid w:val="002B4889"/>
    <w:rsid w:val="002B50C0"/>
    <w:rsid w:val="002B6DBA"/>
    <w:rsid w:val="002B6F21"/>
    <w:rsid w:val="002D3D4A"/>
    <w:rsid w:val="002D4737"/>
    <w:rsid w:val="002D52B4"/>
    <w:rsid w:val="002D5384"/>
    <w:rsid w:val="002D7ADA"/>
    <w:rsid w:val="002E2FAF"/>
    <w:rsid w:val="002F29A3"/>
    <w:rsid w:val="002F351B"/>
    <w:rsid w:val="002F4C03"/>
    <w:rsid w:val="0030196F"/>
    <w:rsid w:val="00302775"/>
    <w:rsid w:val="00302B24"/>
    <w:rsid w:val="00303806"/>
    <w:rsid w:val="00304D04"/>
    <w:rsid w:val="00310D8E"/>
    <w:rsid w:val="003221F2"/>
    <w:rsid w:val="00322614"/>
    <w:rsid w:val="00325E47"/>
    <w:rsid w:val="00334A24"/>
    <w:rsid w:val="0033534D"/>
    <w:rsid w:val="003410FE"/>
    <w:rsid w:val="003508E7"/>
    <w:rsid w:val="003542F1"/>
    <w:rsid w:val="00356A3E"/>
    <w:rsid w:val="003642B8"/>
    <w:rsid w:val="00370407"/>
    <w:rsid w:val="00380729"/>
    <w:rsid w:val="00382B9E"/>
    <w:rsid w:val="00385871"/>
    <w:rsid w:val="0039474B"/>
    <w:rsid w:val="003A4115"/>
    <w:rsid w:val="003A44E6"/>
    <w:rsid w:val="003B5B7A"/>
    <w:rsid w:val="003C0270"/>
    <w:rsid w:val="003C0548"/>
    <w:rsid w:val="003C5CCC"/>
    <w:rsid w:val="003C7325"/>
    <w:rsid w:val="003D6051"/>
    <w:rsid w:val="003D7DD0"/>
    <w:rsid w:val="003D7FD0"/>
    <w:rsid w:val="003E3144"/>
    <w:rsid w:val="003E3D47"/>
    <w:rsid w:val="003F45D5"/>
    <w:rsid w:val="003F64B9"/>
    <w:rsid w:val="00405EA4"/>
    <w:rsid w:val="00406BE5"/>
    <w:rsid w:val="0041034F"/>
    <w:rsid w:val="004118A3"/>
    <w:rsid w:val="0041348B"/>
    <w:rsid w:val="004178EA"/>
    <w:rsid w:val="00423A26"/>
    <w:rsid w:val="00425046"/>
    <w:rsid w:val="00433B90"/>
    <w:rsid w:val="004350B8"/>
    <w:rsid w:val="00436AF8"/>
    <w:rsid w:val="00444AAB"/>
    <w:rsid w:val="00450089"/>
    <w:rsid w:val="0045664B"/>
    <w:rsid w:val="0047289C"/>
    <w:rsid w:val="004729D1"/>
    <w:rsid w:val="00484F99"/>
    <w:rsid w:val="004851FC"/>
    <w:rsid w:val="0049538C"/>
    <w:rsid w:val="004B13FB"/>
    <w:rsid w:val="004B385E"/>
    <w:rsid w:val="004B4ACE"/>
    <w:rsid w:val="004C197B"/>
    <w:rsid w:val="004C1D48"/>
    <w:rsid w:val="004C2036"/>
    <w:rsid w:val="004D65CA"/>
    <w:rsid w:val="004E1C7D"/>
    <w:rsid w:val="004F6E89"/>
    <w:rsid w:val="005034FD"/>
    <w:rsid w:val="00503E23"/>
    <w:rsid w:val="005076A1"/>
    <w:rsid w:val="00513213"/>
    <w:rsid w:val="0051534E"/>
    <w:rsid w:val="00515DA1"/>
    <w:rsid w:val="00517F12"/>
    <w:rsid w:val="0052102C"/>
    <w:rsid w:val="005212C8"/>
    <w:rsid w:val="00524E6C"/>
    <w:rsid w:val="00527233"/>
    <w:rsid w:val="005332D6"/>
    <w:rsid w:val="00534722"/>
    <w:rsid w:val="00540401"/>
    <w:rsid w:val="00543560"/>
    <w:rsid w:val="00544DFE"/>
    <w:rsid w:val="005516B3"/>
    <w:rsid w:val="005548F2"/>
    <w:rsid w:val="00563B33"/>
    <w:rsid w:val="00564B72"/>
    <w:rsid w:val="005734CE"/>
    <w:rsid w:val="005754CF"/>
    <w:rsid w:val="00576C6D"/>
    <w:rsid w:val="005770F9"/>
    <w:rsid w:val="0057769D"/>
    <w:rsid w:val="005840AB"/>
    <w:rsid w:val="00586664"/>
    <w:rsid w:val="0059305E"/>
    <w:rsid w:val="00593290"/>
    <w:rsid w:val="005A0E33"/>
    <w:rsid w:val="005A12F7"/>
    <w:rsid w:val="005A1B30"/>
    <w:rsid w:val="005A57F1"/>
    <w:rsid w:val="005B1A32"/>
    <w:rsid w:val="005B2E0C"/>
    <w:rsid w:val="005B3534"/>
    <w:rsid w:val="005C0469"/>
    <w:rsid w:val="005C6116"/>
    <w:rsid w:val="005C77BB"/>
    <w:rsid w:val="005D17CF"/>
    <w:rsid w:val="005D24AF"/>
    <w:rsid w:val="005D3910"/>
    <w:rsid w:val="005D5AAB"/>
    <w:rsid w:val="005D6E12"/>
    <w:rsid w:val="005D74EF"/>
    <w:rsid w:val="005E0ED8"/>
    <w:rsid w:val="005E6ABD"/>
    <w:rsid w:val="005F41FA"/>
    <w:rsid w:val="00600AE4"/>
    <w:rsid w:val="006054AA"/>
    <w:rsid w:val="0060763A"/>
    <w:rsid w:val="00607FE4"/>
    <w:rsid w:val="0062054D"/>
    <w:rsid w:val="00623CCB"/>
    <w:rsid w:val="006270C3"/>
    <w:rsid w:val="006334BF"/>
    <w:rsid w:val="00635A54"/>
    <w:rsid w:val="00641573"/>
    <w:rsid w:val="0064692E"/>
    <w:rsid w:val="0065285D"/>
    <w:rsid w:val="00661A62"/>
    <w:rsid w:val="006731D9"/>
    <w:rsid w:val="006822BC"/>
    <w:rsid w:val="006858F6"/>
    <w:rsid w:val="006948D3"/>
    <w:rsid w:val="006A60AA"/>
    <w:rsid w:val="006A7253"/>
    <w:rsid w:val="006B034F"/>
    <w:rsid w:val="006B220E"/>
    <w:rsid w:val="006B5117"/>
    <w:rsid w:val="006C2B22"/>
    <w:rsid w:val="006C6567"/>
    <w:rsid w:val="006C78AE"/>
    <w:rsid w:val="006D1BAD"/>
    <w:rsid w:val="006D36B5"/>
    <w:rsid w:val="006E09F2"/>
    <w:rsid w:val="006E0CFA"/>
    <w:rsid w:val="006E4EF8"/>
    <w:rsid w:val="006E6205"/>
    <w:rsid w:val="006F7671"/>
    <w:rsid w:val="00701800"/>
    <w:rsid w:val="0070593A"/>
    <w:rsid w:val="00724BD2"/>
    <w:rsid w:val="007256AD"/>
    <w:rsid w:val="00725708"/>
    <w:rsid w:val="00727FEF"/>
    <w:rsid w:val="00740A47"/>
    <w:rsid w:val="00746ABD"/>
    <w:rsid w:val="00754D7A"/>
    <w:rsid w:val="0075685B"/>
    <w:rsid w:val="0077043E"/>
    <w:rsid w:val="0077075F"/>
    <w:rsid w:val="00772614"/>
    <w:rsid w:val="0077418F"/>
    <w:rsid w:val="00775C44"/>
    <w:rsid w:val="007766B1"/>
    <w:rsid w:val="00776802"/>
    <w:rsid w:val="00783BE0"/>
    <w:rsid w:val="007866BE"/>
    <w:rsid w:val="00787828"/>
    <w:rsid w:val="00791351"/>
    <w:rsid w:val="007924CE"/>
    <w:rsid w:val="00795AFA"/>
    <w:rsid w:val="00797864"/>
    <w:rsid w:val="007A4742"/>
    <w:rsid w:val="007A56C9"/>
    <w:rsid w:val="007B0251"/>
    <w:rsid w:val="007B0E0B"/>
    <w:rsid w:val="007C2F7E"/>
    <w:rsid w:val="007C6235"/>
    <w:rsid w:val="007C70D1"/>
    <w:rsid w:val="007D1990"/>
    <w:rsid w:val="007D2118"/>
    <w:rsid w:val="007D2C34"/>
    <w:rsid w:val="007D38BD"/>
    <w:rsid w:val="007D3F21"/>
    <w:rsid w:val="007E341A"/>
    <w:rsid w:val="007F126F"/>
    <w:rsid w:val="007F2333"/>
    <w:rsid w:val="007F4E8A"/>
    <w:rsid w:val="007F5437"/>
    <w:rsid w:val="00803FBE"/>
    <w:rsid w:val="008044AB"/>
    <w:rsid w:val="00805178"/>
    <w:rsid w:val="00806134"/>
    <w:rsid w:val="00812076"/>
    <w:rsid w:val="008222C3"/>
    <w:rsid w:val="00830B70"/>
    <w:rsid w:val="00832390"/>
    <w:rsid w:val="008350BD"/>
    <w:rsid w:val="00840749"/>
    <w:rsid w:val="008478EB"/>
    <w:rsid w:val="00847B5B"/>
    <w:rsid w:val="0085404F"/>
    <w:rsid w:val="008623A0"/>
    <w:rsid w:val="00863583"/>
    <w:rsid w:val="0087452F"/>
    <w:rsid w:val="00875528"/>
    <w:rsid w:val="00884686"/>
    <w:rsid w:val="008939EF"/>
    <w:rsid w:val="008A332F"/>
    <w:rsid w:val="008A52F6"/>
    <w:rsid w:val="008B3AAF"/>
    <w:rsid w:val="008B7ECD"/>
    <w:rsid w:val="008C1F75"/>
    <w:rsid w:val="008C4BCD"/>
    <w:rsid w:val="008C5578"/>
    <w:rsid w:val="008C6721"/>
    <w:rsid w:val="008C7CBD"/>
    <w:rsid w:val="008D3826"/>
    <w:rsid w:val="008D6D7B"/>
    <w:rsid w:val="008D7FAF"/>
    <w:rsid w:val="008E3395"/>
    <w:rsid w:val="008E5864"/>
    <w:rsid w:val="008F2D9B"/>
    <w:rsid w:val="008F67EE"/>
    <w:rsid w:val="00907F6D"/>
    <w:rsid w:val="0091069C"/>
    <w:rsid w:val="00911190"/>
    <w:rsid w:val="0091332C"/>
    <w:rsid w:val="009138DC"/>
    <w:rsid w:val="00917AE4"/>
    <w:rsid w:val="009256F2"/>
    <w:rsid w:val="00933BEC"/>
    <w:rsid w:val="009347B8"/>
    <w:rsid w:val="00936729"/>
    <w:rsid w:val="0095183B"/>
    <w:rsid w:val="00952126"/>
    <w:rsid w:val="00952617"/>
    <w:rsid w:val="00960FD0"/>
    <w:rsid w:val="009663A6"/>
    <w:rsid w:val="00971A40"/>
    <w:rsid w:val="009734B7"/>
    <w:rsid w:val="00976434"/>
    <w:rsid w:val="00977CF4"/>
    <w:rsid w:val="00981475"/>
    <w:rsid w:val="00992EA3"/>
    <w:rsid w:val="009967CA"/>
    <w:rsid w:val="009969A5"/>
    <w:rsid w:val="009A036A"/>
    <w:rsid w:val="009A17FF"/>
    <w:rsid w:val="009A3388"/>
    <w:rsid w:val="009B19C8"/>
    <w:rsid w:val="009B4423"/>
    <w:rsid w:val="009B5CE2"/>
    <w:rsid w:val="009C381A"/>
    <w:rsid w:val="009C6140"/>
    <w:rsid w:val="009D2FA4"/>
    <w:rsid w:val="009D7D8A"/>
    <w:rsid w:val="009E4C67"/>
    <w:rsid w:val="009F09BF"/>
    <w:rsid w:val="009F1DC8"/>
    <w:rsid w:val="009F437E"/>
    <w:rsid w:val="009F4AF9"/>
    <w:rsid w:val="009F6901"/>
    <w:rsid w:val="00A020C6"/>
    <w:rsid w:val="00A11788"/>
    <w:rsid w:val="00A15AD9"/>
    <w:rsid w:val="00A25358"/>
    <w:rsid w:val="00A30847"/>
    <w:rsid w:val="00A3241B"/>
    <w:rsid w:val="00A36AE2"/>
    <w:rsid w:val="00A43E49"/>
    <w:rsid w:val="00A44EA2"/>
    <w:rsid w:val="00A44ED2"/>
    <w:rsid w:val="00A47F01"/>
    <w:rsid w:val="00A54820"/>
    <w:rsid w:val="00A56D63"/>
    <w:rsid w:val="00A67685"/>
    <w:rsid w:val="00A715D0"/>
    <w:rsid w:val="00A728AE"/>
    <w:rsid w:val="00A804AE"/>
    <w:rsid w:val="00A850D3"/>
    <w:rsid w:val="00A86449"/>
    <w:rsid w:val="00A878F4"/>
    <w:rsid w:val="00A87C1C"/>
    <w:rsid w:val="00A927CC"/>
    <w:rsid w:val="00A92887"/>
    <w:rsid w:val="00A954A4"/>
    <w:rsid w:val="00AA4CAB"/>
    <w:rsid w:val="00AA51AD"/>
    <w:rsid w:val="00AA730D"/>
    <w:rsid w:val="00AB2E01"/>
    <w:rsid w:val="00AB5542"/>
    <w:rsid w:val="00AC1EB9"/>
    <w:rsid w:val="00AC7E26"/>
    <w:rsid w:val="00AD45BB"/>
    <w:rsid w:val="00AE1643"/>
    <w:rsid w:val="00AE3A6C"/>
    <w:rsid w:val="00AF09B8"/>
    <w:rsid w:val="00AF567D"/>
    <w:rsid w:val="00B11A37"/>
    <w:rsid w:val="00B16AA0"/>
    <w:rsid w:val="00B17709"/>
    <w:rsid w:val="00B177B3"/>
    <w:rsid w:val="00B23828"/>
    <w:rsid w:val="00B3564D"/>
    <w:rsid w:val="00B41415"/>
    <w:rsid w:val="00B440C3"/>
    <w:rsid w:val="00B46B7D"/>
    <w:rsid w:val="00B47BCA"/>
    <w:rsid w:val="00B50560"/>
    <w:rsid w:val="00B64B3C"/>
    <w:rsid w:val="00B673C6"/>
    <w:rsid w:val="00B71733"/>
    <w:rsid w:val="00B73C11"/>
    <w:rsid w:val="00B74859"/>
    <w:rsid w:val="00B80BEC"/>
    <w:rsid w:val="00B84181"/>
    <w:rsid w:val="00B87D3D"/>
    <w:rsid w:val="00B91243"/>
    <w:rsid w:val="00BA481C"/>
    <w:rsid w:val="00BB059E"/>
    <w:rsid w:val="00BB2420"/>
    <w:rsid w:val="00BB49AC"/>
    <w:rsid w:val="00BB5ACE"/>
    <w:rsid w:val="00BB68C6"/>
    <w:rsid w:val="00BC1BD2"/>
    <w:rsid w:val="00BC6BE4"/>
    <w:rsid w:val="00BD7623"/>
    <w:rsid w:val="00BE47CD"/>
    <w:rsid w:val="00BE56AD"/>
    <w:rsid w:val="00BE5BF9"/>
    <w:rsid w:val="00BF0A33"/>
    <w:rsid w:val="00C00678"/>
    <w:rsid w:val="00C024C2"/>
    <w:rsid w:val="00C05B86"/>
    <w:rsid w:val="00C1106C"/>
    <w:rsid w:val="00C2469D"/>
    <w:rsid w:val="00C26361"/>
    <w:rsid w:val="00C302F1"/>
    <w:rsid w:val="00C3575F"/>
    <w:rsid w:val="00C42AEA"/>
    <w:rsid w:val="00C4352A"/>
    <w:rsid w:val="00C529AB"/>
    <w:rsid w:val="00C57985"/>
    <w:rsid w:val="00C66F79"/>
    <w:rsid w:val="00C6751B"/>
    <w:rsid w:val="00C75AE6"/>
    <w:rsid w:val="00C7749F"/>
    <w:rsid w:val="00C80617"/>
    <w:rsid w:val="00C83243"/>
    <w:rsid w:val="00CA516B"/>
    <w:rsid w:val="00CB37A3"/>
    <w:rsid w:val="00CC70DF"/>
    <w:rsid w:val="00CC7E21"/>
    <w:rsid w:val="00CD4781"/>
    <w:rsid w:val="00CE74F9"/>
    <w:rsid w:val="00CE7777"/>
    <w:rsid w:val="00CF18DB"/>
    <w:rsid w:val="00CF2E64"/>
    <w:rsid w:val="00CF30B1"/>
    <w:rsid w:val="00D02F6D"/>
    <w:rsid w:val="00D04564"/>
    <w:rsid w:val="00D15A21"/>
    <w:rsid w:val="00D15CB8"/>
    <w:rsid w:val="00D20A81"/>
    <w:rsid w:val="00D22C21"/>
    <w:rsid w:val="00D25CFE"/>
    <w:rsid w:val="00D339DA"/>
    <w:rsid w:val="00D35A4B"/>
    <w:rsid w:val="00D43FFA"/>
    <w:rsid w:val="00D4607F"/>
    <w:rsid w:val="00D57025"/>
    <w:rsid w:val="00D57765"/>
    <w:rsid w:val="00D645E6"/>
    <w:rsid w:val="00D65FE1"/>
    <w:rsid w:val="00D77F50"/>
    <w:rsid w:val="00D81689"/>
    <w:rsid w:val="00D82A25"/>
    <w:rsid w:val="00D858AE"/>
    <w:rsid w:val="00D859F4"/>
    <w:rsid w:val="00D85A52"/>
    <w:rsid w:val="00D86FEC"/>
    <w:rsid w:val="00D94C79"/>
    <w:rsid w:val="00DA34DF"/>
    <w:rsid w:val="00DB06CF"/>
    <w:rsid w:val="00DB07F3"/>
    <w:rsid w:val="00DB1AC6"/>
    <w:rsid w:val="00DB5B9E"/>
    <w:rsid w:val="00DB69FD"/>
    <w:rsid w:val="00DC0A8A"/>
    <w:rsid w:val="00DC1705"/>
    <w:rsid w:val="00DC30CC"/>
    <w:rsid w:val="00DC39A9"/>
    <w:rsid w:val="00DC4C79"/>
    <w:rsid w:val="00DD28C9"/>
    <w:rsid w:val="00DD2B84"/>
    <w:rsid w:val="00DD3529"/>
    <w:rsid w:val="00DE3DD1"/>
    <w:rsid w:val="00DE61C7"/>
    <w:rsid w:val="00DE6249"/>
    <w:rsid w:val="00DE731D"/>
    <w:rsid w:val="00DF144E"/>
    <w:rsid w:val="00E0076D"/>
    <w:rsid w:val="00E02EAF"/>
    <w:rsid w:val="00E04253"/>
    <w:rsid w:val="00E11B44"/>
    <w:rsid w:val="00E15DEB"/>
    <w:rsid w:val="00E1688D"/>
    <w:rsid w:val="00E203EB"/>
    <w:rsid w:val="00E21860"/>
    <w:rsid w:val="00E35401"/>
    <w:rsid w:val="00E373AA"/>
    <w:rsid w:val="00E375DB"/>
    <w:rsid w:val="00E4190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42FB"/>
    <w:rsid w:val="00EA0B4F"/>
    <w:rsid w:val="00EB139F"/>
    <w:rsid w:val="00EC2AFC"/>
    <w:rsid w:val="00EC54A6"/>
    <w:rsid w:val="00ED1365"/>
    <w:rsid w:val="00EE5714"/>
    <w:rsid w:val="00EF5DBE"/>
    <w:rsid w:val="00F13542"/>
    <w:rsid w:val="00F138F7"/>
    <w:rsid w:val="00F15E0F"/>
    <w:rsid w:val="00F2008A"/>
    <w:rsid w:val="00F21D9E"/>
    <w:rsid w:val="00F25348"/>
    <w:rsid w:val="00F276B5"/>
    <w:rsid w:val="00F44307"/>
    <w:rsid w:val="00F45506"/>
    <w:rsid w:val="00F60062"/>
    <w:rsid w:val="00F613CC"/>
    <w:rsid w:val="00F76777"/>
    <w:rsid w:val="00F83D00"/>
    <w:rsid w:val="00F83F2F"/>
    <w:rsid w:val="00F86555"/>
    <w:rsid w:val="00F86C58"/>
    <w:rsid w:val="00F9693F"/>
    <w:rsid w:val="00F97216"/>
    <w:rsid w:val="00FA3C70"/>
    <w:rsid w:val="00FA497B"/>
    <w:rsid w:val="00FB08C0"/>
    <w:rsid w:val="00FB105A"/>
    <w:rsid w:val="00FB1814"/>
    <w:rsid w:val="00FB492D"/>
    <w:rsid w:val="00FC34D1"/>
    <w:rsid w:val="00FC36CF"/>
    <w:rsid w:val="00FC3B03"/>
    <w:rsid w:val="00FD1501"/>
    <w:rsid w:val="00FD64BC"/>
    <w:rsid w:val="00FE273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4A9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548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bilas@uz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A50D1-C1D3-477A-BDE8-43198EAD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2475</Words>
  <Characters>14854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2021-01-19T14:20:00Z</dcterms:created>
  <dcterms:modified xsi:type="dcterms:W3CDTF">2021-01-27T15:21:00Z</dcterms:modified>
</cp:coreProperties>
</file>